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false"/>
              <w:spacing w:lineRule="auto" w:line="240" w:beforeAutospacing="1" w:after="0"/>
              <w:ind w:left="0" w:firstLine="709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A"/>
                <w:sz w:val="22"/>
                <w:szCs w:val="22"/>
                <w:shd w:fill="auto" w:val="clear"/>
                <w:lang w:eastAsia="ru-RU"/>
              </w:rPr>
      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right="282" w:hanging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Администрация Шатровского муниципального округа Курганской области</w:t>
            </w:r>
          </w:p>
        </w:tc>
      </w:tr>
      <w:tr>
        <w:trPr>
          <w:trHeight w:val="492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0"/>
                <w:sz w:val="22"/>
                <w:szCs w:val="22"/>
                <w:lang w:eastAsia="en-US"/>
              </w:rPr>
              <w:t>Отдел по развитию территории, жилищно-коммунальному хозяйству и строительству Администрации Шатровского муниципального округа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1301" w:leader="none"/>
              </w:tabs>
              <w:spacing w:lineRule="exact" w:line="267" w:before="0" w:after="0"/>
              <w:ind w:left="0" w:firstLine="70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Заявителями на получение  муниципальной услуги являются физические лица, юридические лица, индивидуальные предприниматели, являющиеся застройщиками</w:t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1301" w:leader="none"/>
              </w:tabs>
              <w:spacing w:lineRule="exact" w:line="267" w:before="0" w:after="0"/>
              <w:ind w:left="0" w:firstLine="70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Интересы заявителей,  могут представлять лица, обладающие соответствующими полномочиями.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1301" w:leader="none"/>
              </w:tabs>
              <w:spacing w:lineRule="exact" w:line="267" w:before="0" w:after="0"/>
              <w:ind w:left="0" w:firstLine="70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Заявителями на получение  муниципальной услуги являются физические лица, юридические лица, индивидуальные предприниматели, являющиеся застройщиками</w:t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1301" w:leader="none"/>
              </w:tabs>
              <w:spacing w:lineRule="exact" w:line="267" w:before="0" w:after="0"/>
              <w:ind w:left="0" w:firstLine="70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Интересы заявителей,  могут представлять лица, обладающие соответствующими полномочиями.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уведомление о сносе;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2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уведомление о завершении сноса;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уведомление о сносе;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уведомление о завершении сноса;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документ, удостоверяющий личность заявителя или представителя заявителя;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документ, подтверждающий полномочия представителя заявителя действовать от имени заявителя;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результаты и материалы обследования объекта капитального строительства (в случае направления уведомления о сносе);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200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проект организации работ по сносу объекта капитального строительства (в случае направления уведомления о сносе);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numPr>
                <w:ilvl w:val="0"/>
                <w:numId w:val="2"/>
              </w:numPr>
              <w:spacing w:lineRule="auto" w:line="240" w:before="0" w:after="0"/>
              <w:ind w:firstLine="54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Сведения из ЕГРЮЛ, ЕГРИП;</w:t>
            </w:r>
          </w:p>
          <w:p>
            <w:pPr>
              <w:pStyle w:val="ConsPlusNormal1"/>
              <w:widowControl w:val="false"/>
              <w:numPr>
                <w:ilvl w:val="0"/>
                <w:numId w:val="2"/>
              </w:numPr>
              <w:spacing w:lineRule="auto" w:line="240" w:before="0" w:after="0"/>
              <w:ind w:firstLine="54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решение суда о сносе объекта капитального строительства;</w:t>
            </w:r>
          </w:p>
          <w:p>
            <w:pPr>
              <w:pStyle w:val="ConsPlusNormal1"/>
              <w:widowControl w:val="false"/>
              <w:numPr>
                <w:ilvl w:val="0"/>
                <w:numId w:val="2"/>
              </w:numPr>
              <w:spacing w:lineRule="auto" w:line="240" w:before="0" w:after="0"/>
              <w:ind w:firstLine="54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решение органа местного самоуправления о сносе объекта капитального строительства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08"/>
                <w:tab w:val="left" w:pos="1417" w:leader="none"/>
              </w:tabs>
              <w:spacing w:lineRule="auto" w:line="240" w:before="0" w:after="0"/>
              <w:ind w:left="720" w:hanging="0"/>
              <w:jc w:val="both"/>
              <w:rPr>
                <w:rFonts w:ascii="Arial" w:hAnsi="Arial" w:cstheme="minorBidi"/>
                <w:b/>
                <w:b/>
                <w:bCs/>
                <w:sz w:val="22"/>
                <w:szCs w:val="22"/>
                <w:shd w:fill="E8F2A1" w:val="clear"/>
              </w:rPr>
            </w:pPr>
            <w:r>
              <w:rPr>
                <w:rFonts w:asciiTheme="minorHAnsi" w:cstheme="minorBidi" w:eastAsiaTheme="minorHAnsi" w:hAnsiTheme="minorHAnsi" w:ascii="Arial" w:hAnsi="Arial"/>
                <w:b/>
                <w:bCs/>
                <w:sz w:val="22"/>
                <w:szCs w:val="22"/>
                <w:shd w:fill="E8F2A1" w:val="clear"/>
              </w:rPr>
              <w:t>Р</w:t>
            </w:r>
            <w:r>
              <w:rPr>
                <w:rFonts w:asciiTheme="minorHAnsi" w:cstheme="minorBidi" w:eastAsiaTheme="minorHAnsi" w:hAnsiTheme="minorHAnsi" w:ascii="Arial" w:hAnsi="Arial"/>
                <w:b/>
                <w:bCs/>
                <w:sz w:val="22"/>
                <w:szCs w:val="22"/>
                <w:shd w:fill="E8F2A1" w:val="clear"/>
              </w:rPr>
              <w:t>азмещение этих уведомления и документов в информационной системе обеспечения градостроительной деятельности</w:t>
            </w:r>
          </w:p>
          <w:p>
            <w:pPr>
              <w:pStyle w:val="Normal"/>
              <w:numPr>
                <w:ilvl w:val="0"/>
                <w:numId w:val="0"/>
              </w:numPr>
              <w:ind w:left="720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В случае   обращения за услугой «Направление   уведомления о планируемом сносе объекта капитального строительства»:</w:t>
            </w:r>
          </w:p>
          <w:p>
            <w:pPr>
              <w:pStyle w:val="Normal"/>
              <w:numPr>
                <w:ilvl w:val="0"/>
                <w:numId w:val="0"/>
              </w:numPr>
              <w:ind w:left="72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1) извещение о приеме уведомления о планируемом сносе объекта капитального строительства;</w:t>
            </w:r>
          </w:p>
          <w:p>
            <w:pPr>
              <w:pStyle w:val="Normal"/>
              <w:numPr>
                <w:ilvl w:val="0"/>
                <w:numId w:val="0"/>
              </w:numPr>
              <w:ind w:left="72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2)  отказ в предоставлении услуги.</w:t>
            </w:r>
          </w:p>
          <w:p>
            <w:pPr>
              <w:pStyle w:val="Normal"/>
              <w:numPr>
                <w:ilvl w:val="0"/>
                <w:numId w:val="0"/>
              </w:numPr>
              <w:ind w:left="720" w:hanging="0"/>
              <w:jc w:val="both"/>
              <w:rPr>
                <w:b w:val="false"/>
                <w:b w:val="false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720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В    случае обращения за услугой «Направление уведомления о завершении сноса объекта капитального строительства»:</w:t>
            </w:r>
          </w:p>
          <w:p>
            <w:pPr>
              <w:pStyle w:val="Normal"/>
              <w:numPr>
                <w:ilvl w:val="0"/>
                <w:numId w:val="0"/>
              </w:numPr>
              <w:ind w:left="72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1) извещение о приеме уведомления о завершении сноса объекта капитального    строительства;</w:t>
            </w:r>
          </w:p>
          <w:p>
            <w:pPr>
              <w:pStyle w:val="Normal"/>
              <w:numPr>
                <w:ilvl w:val="0"/>
                <w:numId w:val="0"/>
              </w:numPr>
              <w:spacing w:before="0" w:after="200"/>
              <w:ind w:left="72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2) отказ в предоставлении услуги.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false"/>
              <w:spacing w:lineRule="auto" w:line="240" w:beforeAutospacing="1" w:after="0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2"/>
                <w:szCs w:val="22"/>
                <w:lang w:eastAsia="ru-RU"/>
              </w:rPr>
              <w:t>Не более 7 рабочих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 xml:space="preserve">Нет 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 CYR" w:ascii="Arial" w:hAnsi="Arial"/>
                <w:b w:val="false"/>
                <w:bCs/>
                <w:sz w:val="22"/>
                <w:szCs w:val="22"/>
              </w:rPr>
              <w:t>Предоставление услуги осуществляется без взимания платы.</w:t>
            </w:r>
          </w:p>
        </w:tc>
      </w:tr>
      <w:tr>
        <w:trPr>
          <w:trHeight w:val="1090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Style w:val="FontStyle23"/>
                <w:rFonts w:eastAsia="Calibri" w:ascii="Arial" w:hAnsi="Arial"/>
                <w:b/>
                <w:color w:val="403152" w:themeColor="accent4" w:themeShade="80"/>
                <w:kern w:val="0"/>
                <w:sz w:val="24"/>
                <w:szCs w:val="24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  <w:t>30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 w:cs="PT Astra Serif"/>
                <w:b w:val="false"/>
                <w:b w:val="false"/>
                <w:bCs w:val="false"/>
                <w:color w:val="000000"/>
                <w:spacing w:val="-1"/>
                <w:sz w:val="22"/>
                <w:szCs w:val="22"/>
              </w:rPr>
            </w:pPr>
            <w:r>
              <w:rPr>
                <w:rFonts w:eastAsia="Calibri"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lang w:eastAsia="en-US"/>
              </w:rPr>
              <w:t xml:space="preserve">Постановление Администрации Шатровского муниципального округа № 189 от 14 апреля 2022 года Об утверждении Административного регламента предоставления муниципальной 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</w:t>
            </w:r>
          </w:p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eastAsia="Calibri" w:cs="Arial"/>
                <w:lang w:eastAsia="en-US"/>
              </w:rPr>
            </w:pPr>
            <w:r>
              <w:rPr>
                <w:rFonts w:cs="PT Astra Serif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 w:cs="PT Astra Serif"/>
                <w:b w:val="false"/>
                <w:b w:val="false"/>
                <w:bCs w:val="false"/>
                <w:color w:val="000000"/>
                <w:spacing w:val="-1"/>
                <w:sz w:val="22"/>
                <w:szCs w:val="22"/>
              </w:rPr>
            </w:pPr>
            <w:r>
              <w:rPr>
                <w:rFonts w:eastAsia="Calibri"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lang w:eastAsia="en-US"/>
              </w:rPr>
              <w:t xml:space="preserve">Постановление Администрации Шатровского муниципального округа № 438 от 28 мая 2024 года 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spacing w:val="-1"/>
                <w:kern w:val="2"/>
                <w:sz w:val="22"/>
                <w:szCs w:val="22"/>
                <w:lang w:eastAsia="en-US" w:bidi="hi-IN"/>
              </w:rPr>
              <w:t xml:space="preserve">О внесении изменений в постановление Администрации Шатровского муниципального округа Курганской области от 14 апреля 2022 года № 189 «Об утверждении Административного регламента предоставления муниципальной услуги 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spacing w:val="-1"/>
                <w:w w:val="105"/>
                <w:kern w:val="2"/>
                <w:sz w:val="22"/>
                <w:szCs w:val="22"/>
                <w:lang w:eastAsia="en-US" w:bidi="hi-IN"/>
              </w:rPr>
              <w:t>«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lang w:eastAsia="en-US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  <w:bookmarkStart w:id="0" w:name="_GoBack"/>
            <w:bookmarkEnd w:id="0"/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spacing w:val="-1"/>
                <w:w w:val="105"/>
                <w:kern w:val="2"/>
                <w:sz w:val="22"/>
                <w:szCs w:val="22"/>
                <w:lang w:eastAsia="en-US" w:bidi="hi-IN"/>
              </w:rPr>
              <w:t>»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Контактная информация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7645" w:leader="none"/>
              </w:tabs>
              <w:ind w:right="-199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Arial Unicode MS" w:cs="Mangal" w:ascii="Arial" w:hAnsi="Arial"/>
                <w:kern w:val="2"/>
                <w:sz w:val="22"/>
                <w:szCs w:val="22"/>
                <w:lang w:bidi="hi-IN"/>
              </w:rPr>
              <w:t xml:space="preserve">Е.А. Хандорина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645" w:leader="none"/>
              </w:tabs>
              <w:spacing w:lineRule="auto" w:line="240" w:before="0" w:after="0"/>
              <w:ind w:right="-199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Arial Unicode MS" w:cs="Mangal" w:ascii="Arial" w:hAnsi="Arial"/>
                <w:kern w:val="2"/>
                <w:sz w:val="22"/>
                <w:szCs w:val="22"/>
                <w:lang w:eastAsia="en-US" w:bidi="hi-IN"/>
              </w:rPr>
              <w:t xml:space="preserve">8/35257/ </w:t>
            </w:r>
            <w:r>
              <w:rPr>
                <w:rFonts w:eastAsia="Arial Unicode MS" w:cs="Mangal" w:ascii="Arial" w:hAnsi="Arial"/>
                <w:kern w:val="2"/>
                <w:sz w:val="22"/>
                <w:szCs w:val="22"/>
                <w:lang w:eastAsia="en-US" w:bidi="hi-IN"/>
              </w:rPr>
              <w:t>9 19 52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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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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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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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2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Application>LibreOffice/7.0.4.2$Windows_X86_64 LibreOffice_project/dcf040e67528d9187c66b2379df5ea4407429775</Application>
  <AppVersion>15.0000</AppVersion>
  <Pages>3</Pages>
  <Words>412</Words>
  <Characters>3151</Characters>
  <CharactersWithSpaces>3513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2018-11-16T04:57:00Z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2024-11-18T10:49:58Z</dcterms:modified>
  <cp:revision>151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