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/>
              </w:rPr>
              <w:t>Управлением по муниципальному имуществу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Заявление;</w:t>
            </w:r>
          </w:p>
          <w:p>
            <w:pPr>
              <w:pStyle w:val="ConsPlusNormal1"/>
              <w:widowControl w:val="false"/>
              <w:bidi w:val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rFonts w:cs="Arial"/>
                <w:color w:val="000000"/>
                <w:sz w:val="24"/>
                <w:szCs w:val="24"/>
              </w:rPr>
              <w:t>Документ, удостоверяющий личность заявителя, представителя.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      </w:r>
          </w:p>
          <w:p>
            <w:pPr>
              <w:pStyle w:val="ConsPlusNormal1"/>
              <w:widowControl w:val="false"/>
              <w:bidi w:val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3) Схема расположения земельного участка (Если отсутствует проект межевания территории)</w:t>
            </w:r>
          </w:p>
          <w:p>
            <w:pPr>
              <w:pStyle w:val="ConsPlusNormal1"/>
              <w:widowControl w:val="false"/>
              <w:bidi w:val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4) Согласие землепользователей, землевладельцев, арендаторов на перераспределение земельных участков. (В случае,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участков)</w:t>
            </w:r>
          </w:p>
          <w:p>
            <w:pPr>
              <w:pStyle w:val="ConsPlusNormal1"/>
              <w:widowControl w:val="false"/>
              <w:bidi w:val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5) Согласие залогодержателя на перераспределение земельных участков. (В случае,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участков).</w:t>
            </w:r>
          </w:p>
          <w:p>
            <w:pPr>
              <w:pStyle w:val="ConsPlusNormal1"/>
              <w:widowControl w:val="false"/>
              <w:bidi w:val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6)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</w:t>
            </w:r>
          </w:p>
          <w:p>
            <w:pPr>
              <w:pStyle w:val="ConsPlusNormal1"/>
              <w:widowControl w:val="false"/>
              <w:bidi w:val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7) Заверенный перевод на русский язык документов о государственной регистрации иностранного юридического лица (В случае,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государства)</w:t>
            </w:r>
          </w:p>
          <w:p>
            <w:pPr>
              <w:pStyle w:val="ConsPlusNormal1"/>
              <w:widowControl w:val="false"/>
              <w:bidi w:val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8) 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1) Выписка из ЕГРЮЛ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2) Выписка из ЕГРИП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3) Выписка из ЕГРН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4) Сведения о положительном заключении государственной экологической экспертизы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5)</w:t>
            </w:r>
            <w:r>
              <w:rPr>
                <w:rStyle w:val="Style16"/>
                <w:rFonts w:eastAsia="Arial" w:cs="Arial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highlight w:val="white"/>
                <w:shd w:fill="auto" w:val="clear"/>
                <w:lang w:val="ru-RU" w:eastAsia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 w:eastAsia="ru-RU"/>
              </w:rPr>
              <w:t>- 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– соглашение о перераспределении);</w:t>
            </w:r>
          </w:p>
          <w:p>
            <w:pPr>
              <w:pStyle w:val="Style19"/>
              <w:widowControl w:val="false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 w:eastAsia="ru-RU"/>
              </w:rPr>
              <w:t>- решение об отказе в заключении соглашения о перераспределении земельных участков;</w:t>
            </w:r>
          </w:p>
          <w:p>
            <w:pPr>
              <w:pStyle w:val="Style19"/>
              <w:widowControl w:val="false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 w:eastAsia="ru-RU"/>
              </w:rPr>
              <w:t>Промежуточными результатами предоставления муниципальной услуги являются:</w:t>
            </w:r>
          </w:p>
          <w:p>
            <w:pPr>
              <w:pStyle w:val="Style19"/>
              <w:widowControl w:val="false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 w:eastAsia="ru-RU"/>
              </w:rPr>
              <w:t>- согласие на заключение соглашения о перераспределении земельных участков в соответствии с утвержденным проектом межевания территории;</w:t>
            </w:r>
          </w:p>
          <w:p>
            <w:pPr>
              <w:pStyle w:val="Style19"/>
              <w:widowControl w:val="false"/>
              <w:spacing w:before="0" w:after="14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 w:eastAsia="ru-RU"/>
              </w:rPr>
              <w:t>- решение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 календарных дней (35 календарных дней в случае необходимости согласования схемы расположения земельного участка с органом исполнительной власти субъекта Российской Федерации)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lang w:val="ru-RU" w:eastAsia="ru-RU"/>
              </w:rPr>
              <w:t>Предоставление муниципальной услуги осуществляется без взимания платы.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возврата ГБУ "МФЦ" результатов предоставления муниципальной услуги в связи с неявкой заявителя за ними (через 30 календарных дней), документы передаются на хранение в архив Уполномоченного органа.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cs="Arial" w:ascii="Arial" w:hAnsi="Arial"/>
                <w:sz w:val="24"/>
                <w:szCs w:val="24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06 апреля 2023 года № 274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Application>LibreOffice/7.3.7.2$Windows_X86_64 LibreOffice_project/e114eadc50a9ff8d8c8a0567d6da8f454beeb84f</Application>
  <AppVersion>15.0000</AppVersion>
  <Pages>3</Pages>
  <Words>503</Words>
  <Characters>4064</Characters>
  <CharactersWithSpaces>4529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2024-11-02T08:29:52Z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