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37"/>
        <w:gridCol w:w="12525"/>
      </w:tblGrid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709" w:leader="none"/>
              </w:tabs>
              <w:bidi w:val="0"/>
              <w:spacing w:lineRule="auto" w:line="240" w:beforeAutospacing="1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28"/>
                <w:szCs w:val="28"/>
                <w:shd w:fill="FFFFFF" w:val="clear"/>
                <w:lang w:val="ru-RU" w:eastAsia="ru-RU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Ответственный орган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  <w:tab w:val="left" w:pos="10303" w:leader="none"/>
              </w:tabs>
              <w:spacing w:lineRule="auto" w:line="240" w:before="1" w:after="0"/>
              <w:ind w:left="0" w:right="13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shd w:fill="auto" w:val="clear"/>
                <w:lang w:val="ru-RU"/>
              </w:rPr>
              <w:t>Администрация Шадринского муниципального округа Курганской области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</w:r>
            <w:bookmarkStart w:id="0" w:name="_GoBack"/>
            <w:bookmarkStart w:id="1" w:name="_GoBack"/>
            <w:bookmarkEnd w:id="1"/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Получатели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sz w:val="24"/>
                <w:szCs w:val="24"/>
                <w:lang w:eastAsia="ru-RU"/>
              </w:rPr>
              <w:t>Заявителями на получение муниципальной услуги являются физические лица, индивидуальные предприниматели и юридические лица, их представители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Услуга предоставляется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  <w:tab w:val="left" w:pos="10303" w:leader="none"/>
              </w:tabs>
              <w:spacing w:lineRule="auto" w:line="240" w:before="1" w:after="0"/>
              <w:ind w:left="0" w:right="13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shd w:fill="auto" w:val="clear"/>
                <w:lang w:val="ru-RU"/>
              </w:rPr>
              <w:t>Управлением по муниципальному имуществу Администрации Шадринского муниципального округа Курганской области</w:t>
            </w:r>
          </w:p>
        </w:tc>
      </w:tr>
      <w:tr>
        <w:trPr>
          <w:trHeight w:val="997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Заявители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Autospacing="1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sz w:val="24"/>
                <w:szCs w:val="24"/>
                <w:lang w:eastAsia="ru-RU"/>
              </w:rPr>
              <w:t>Заявителями на получение муниципальной услуги являются физические лица, индивидуальные предприниматели и юридические лица, их представители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Обязательные документы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bidi w:val="0"/>
              <w:spacing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Заявление;</w:t>
            </w:r>
          </w:p>
          <w:p>
            <w:pPr>
              <w:pStyle w:val="ConsPlusNormal1"/>
              <w:widowControl w:val="false"/>
              <w:bidi w:val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>
              <w:rPr>
                <w:rFonts w:cs="Arial"/>
                <w:color w:val="000000"/>
                <w:sz w:val="24"/>
                <w:szCs w:val="24"/>
              </w:rPr>
              <w:t>Документ, удостоверяющий личность заявителя, представителя. В случае, если заявление подается представителем, дополнительно предоставляется документ, подтверждающий полномочия представителя действовать от имени заявителя.</w:t>
            </w:r>
          </w:p>
          <w:p>
            <w:pPr>
              <w:pStyle w:val="ConsPlusNormal1"/>
              <w:widowControl w:val="false"/>
              <w:bidi w:val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3) Схема расположения земельного участка (Если отсутствует проект межевания территории)</w:t>
            </w:r>
          </w:p>
          <w:p>
            <w:pPr>
              <w:pStyle w:val="ConsPlusNormal1"/>
              <w:widowControl w:val="false"/>
              <w:bidi w:val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4) Согласие землепользователей, землевладельцев, арендаторов на перераспределение земельных участков. (В случае, если права собственности на исходные земельные участки ограничены, требуется представить согласие землепользователей, землевладельцев, арендаторов на перераспределение земельных участков)</w:t>
            </w:r>
          </w:p>
          <w:p>
            <w:pPr>
              <w:pStyle w:val="ConsPlusNormal1"/>
              <w:widowControl w:val="false"/>
              <w:bidi w:val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5) Согласие залогодержателя на перераспределение земельных участков. (В случае, если права собственности на такой земельный участок обременены залогом, требуется представить согласие залогодержателей на перераспределение земельных участков).</w:t>
            </w:r>
          </w:p>
          <w:p>
            <w:pPr>
              <w:pStyle w:val="ConsPlusNormal1"/>
              <w:widowControl w:val="false"/>
              <w:bidi w:val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6) Правоустанавливающий документ на земельный участок (В случае, если право собственности не зарегистрировано в Едином государственном реестре недвижимости)</w:t>
            </w:r>
          </w:p>
          <w:p>
            <w:pPr>
              <w:pStyle w:val="ConsPlusNormal1"/>
              <w:widowControl w:val="false"/>
              <w:bidi w:val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7) Заверенный перевод на русский язык документов о государственной регистрации иностранного юридического лица (В случае, если заявителем является иностранное юридическое лицо, необходимо представить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государства)</w:t>
            </w:r>
          </w:p>
          <w:p>
            <w:pPr>
              <w:pStyle w:val="ConsPlusNormal1"/>
              <w:widowControl w:val="false"/>
              <w:bidi w:val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8) Выписка из Единого государственного реестра недвижимости о земельном участке, образуемом в результате перераспределения (Предоставляется после государственного кадастрового учета земельного участка, образуемого в результате перераспределения)</w:t>
            </w:r>
          </w:p>
        </w:tc>
      </w:tr>
      <w:tr>
        <w:trPr>
          <w:trHeight w:val="523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Необязательные документы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highlight w:val="white"/>
                <w:lang w:val="ru-RU" w:eastAsia="ru-RU"/>
              </w:rPr>
              <w:t>1) Выписка из ЕГРЮЛ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highlight w:val="white"/>
                <w:lang w:val="ru-RU" w:eastAsia="ru-RU"/>
              </w:rPr>
              <w:t>2) Выписка из ЕГРИП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highlight w:val="white"/>
                <w:lang w:val="ru-RU" w:eastAsia="ru-RU"/>
              </w:rPr>
              <w:t>3) Выписка из ЕГРН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highlight w:val="white"/>
                <w:lang w:val="ru-RU" w:eastAsia="ru-RU"/>
              </w:rPr>
              <w:t>4) Сведения о положительном заключении государственной экологической экспертизы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highlight w:val="white"/>
                <w:lang w:val="ru-RU" w:eastAsia="ru-RU"/>
              </w:rPr>
              <w:t>5)</w:t>
            </w:r>
            <w:r>
              <w:rPr>
                <w:rStyle w:val="Style16"/>
                <w:rFonts w:eastAsia="Arial" w:cs="Arial"/>
                <w:b w:val="false"/>
                <w:bCs w:val="false"/>
                <w:i w:val="false"/>
                <w:caps w:val="false"/>
                <w:smallCaps w:val="false"/>
                <w:color w:val="00000A"/>
                <w:spacing w:val="0"/>
                <w:sz w:val="24"/>
                <w:szCs w:val="24"/>
                <w:highlight w:val="white"/>
                <w:shd w:fill="auto" w:val="clear"/>
                <w:lang w:val="ru-RU" w:eastAsia="ru-RU"/>
              </w:rPr>
              <w:t>Согласование или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      </w:r>
          </w:p>
        </w:tc>
      </w:tr>
      <w:tr>
        <w:trPr>
          <w:trHeight w:val="1071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9"/>
              <w:widowControl w:val="false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highlight w:val="white"/>
                <w:shd w:fill="auto" w:val="clear"/>
                <w:lang w:val="ru-RU" w:eastAsia="ru-RU"/>
              </w:rPr>
              <w:t>- проект соглашения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 (далее – соглашение о перераспределении);</w:t>
            </w:r>
          </w:p>
          <w:p>
            <w:pPr>
              <w:pStyle w:val="Style19"/>
              <w:widowControl w:val="false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highlight w:val="white"/>
                <w:shd w:fill="auto" w:val="clear"/>
                <w:lang w:val="ru-RU" w:eastAsia="ru-RU"/>
              </w:rPr>
              <w:t>- решение об отказе в заключении соглашения о перераспределении земельных участков;</w:t>
            </w:r>
          </w:p>
          <w:p>
            <w:pPr>
              <w:pStyle w:val="Style19"/>
              <w:widowControl w:val="false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highlight w:val="white"/>
                <w:shd w:fill="auto" w:val="clear"/>
                <w:lang w:val="ru-RU" w:eastAsia="ru-RU"/>
              </w:rPr>
              <w:t>Промежуточными результатами предоставления муниципальной услуги являются:</w:t>
            </w:r>
          </w:p>
          <w:p>
            <w:pPr>
              <w:pStyle w:val="Style19"/>
              <w:widowControl w:val="false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highlight w:val="white"/>
                <w:shd w:fill="auto" w:val="clear"/>
                <w:lang w:val="ru-RU" w:eastAsia="ru-RU"/>
              </w:rPr>
              <w:t>- согласие на заключение соглашения о перераспределении земельных участков в соответствии с утвержденным проектом межевания территории;</w:t>
            </w:r>
          </w:p>
          <w:p>
            <w:pPr>
              <w:pStyle w:val="Style19"/>
              <w:widowControl w:val="false"/>
              <w:spacing w:before="0" w:after="14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highlight w:val="white"/>
                <w:shd w:fill="auto" w:val="clear"/>
                <w:lang w:val="ru-RU" w:eastAsia="ru-RU"/>
              </w:rPr>
              <w:t>- решение об утверждении схемы расположения земельного участка или земельных участков на кадастровом плане территории (далее – схема расположения земельного участка), в случае, если отсутствует проект межевания территории, в границах которой осуществляется перераспределение земельных участков.</w:t>
            </w:r>
          </w:p>
        </w:tc>
      </w:tr>
      <w:tr>
        <w:trPr>
          <w:trHeight w:val="760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Срок предоставления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20 календарных дней (35 календарных дней в случае необходимости согласования схемы расположения земельного участка с органом исполнительной власти субъекта Российской Федерации)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Стоимость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52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sz w:val="24"/>
                <w:szCs w:val="24"/>
                <w:lang w:val="ru-RU" w:eastAsia="ru-RU"/>
              </w:rPr>
              <w:t>Предоставление муниципальной услуги осуществляется без взимания платы.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20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возврата ГБУ "МФЦ" результатов предоставления муниципальной услуги в связи с неявкой заявителя за ними (через 30 календарных дней), документы передаются на хранение в архив Уполномоченного органа.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Административный регламент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pacing w:lineRule="auto" w:line="240" w:beforeAutospacing="1" w:after="0"/>
              <w:ind w:left="0" w:right="0" w:hanging="0"/>
              <w:jc w:val="both"/>
              <w:rPr/>
            </w:pPr>
            <w:r>
              <w:rPr>
                <w:rStyle w:val="FontStyle23"/>
                <w:rFonts w:cs="Arial" w:ascii="Arial" w:hAnsi="Arial"/>
                <w:sz w:val="24"/>
                <w:szCs w:val="24"/>
                <w:lang w:val="ru-RU" w:eastAsia="ru-RU" w:bidi="ar-SA"/>
              </w:rPr>
              <w:t>Постановление Администрации Шадринского муниципального округа Курганской области от 06 апреля 2023 года № 274 «Об утверждении Административного регламента предоставления муниципальной услуги 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</w:t>
            </w:r>
          </w:p>
        </w:tc>
      </w:tr>
    </w:tbl>
    <w:p>
      <w:pPr>
        <w:pStyle w:val="Normal"/>
        <w:spacing w:before="0" w:after="200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5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FontStyle20">
    <w:name w:val="Font Style20"/>
    <w:qFormat/>
    <w:rPr>
      <w:rFonts w:ascii="Times New Roman" w:hAnsi="Times New Roman"/>
      <w:sz w:val="18"/>
    </w:rPr>
  </w:style>
  <w:style w:type="character" w:styleId="Style16">
    <w:name w:val="Основной шрифт абзаца"/>
    <w:qFormat/>
    <w:rPr/>
  </w:style>
  <w:style w:type="character" w:styleId="Style17">
    <w:name w:val="Посещённая гиперссылка"/>
    <w:basedOn w:val="Style16"/>
    <w:rPr>
      <w:color w:val="800080"/>
      <w:u w:val="single"/>
    </w:rPr>
  </w:style>
  <w:style w:type="character" w:styleId="ConsPlusNormal">
    <w:name w:val="ConsPlusNormal Знак"/>
    <w:qFormat/>
    <w:rPr>
      <w:rFonts w:ascii="Times New Roman" w:hAnsi="Times New Roman"/>
      <w:sz w:val="24"/>
    </w:rPr>
  </w:style>
  <w:style w:type="character" w:styleId="FontStyle23">
    <w:name w:val="Font Style23"/>
    <w:qFormat/>
    <w:rPr>
      <w:rFonts w:ascii="Times New Roman" w:hAnsi="Times New Roman"/>
      <w:sz w:val="14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1" w:customStyle="1">
    <w:name w:val="ConsPlusNormal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Style23">
    <w:name w:val="Style2"/>
    <w:basedOn w:val="Normal"/>
    <w:qFormat/>
    <w:pPr>
      <w:spacing w:lineRule="exact" w:line="233"/>
      <w:jc w:val="center"/>
    </w:pPr>
    <w:rPr/>
  </w:style>
  <w:style w:type="paragraph" w:styleId="Style24">
    <w:name w:val="Содержимое таблицы"/>
    <w:basedOn w:val="Normal"/>
    <w:qFormat/>
    <w:pPr/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Calibri" w:hAnsi="Calibri" w:eastAsia="Liberation Serif" w:cs="Calibri" w:asciiTheme="minorHAnsi" w:hAnsiTheme="minorHAnsi"/>
      <w:color w:val="auto"/>
      <w:kern w:val="0"/>
      <w:sz w:val="20"/>
      <w:szCs w:val="20"/>
      <w:lang w:val="ru-RU" w:eastAsia="ru-RU" w:bidi="ar-SA"/>
    </w:rPr>
  </w:style>
  <w:style w:type="paragraph" w:styleId="Default">
    <w:name w:val="Default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Calibri" w:cs="0"/>
      <w:color w:val="000000"/>
      <w:kern w:val="0"/>
      <w:sz w:val="24"/>
      <w:szCs w:val="22"/>
      <w:lang w:val="ru-RU" w:eastAsia="en-US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Application>LibreOffice/7.3.7.2$Windows_X86_64 LibreOffice_project/e114eadc50a9ff8d8c8a0567d6da8f454beeb84f</Application>
  <AppVersion>15.0000</AppVersion>
  <Pages>3</Pages>
  <Words>503</Words>
  <Characters>4064</Characters>
  <CharactersWithSpaces>4529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dc:description/>
  <dc:language>ru-RU</dc:language>
  <cp:lastModifiedBy/>
  <dcterms:modified xsi:type="dcterms:W3CDTF">2024-11-02T08:29:52Z</dcterms:modified>
  <cp:revision>101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