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/>
                <w:iCs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Организация отдыха и оздоровления детей в каникулярное время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/>
              </w:rPr>
              <w:t>Заявителями на предоставление муниципальной услуги являются родители (законные представители) отдельных категорий детей.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Управления образования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Заявителями на предоставление муниципальной услуги являются родители (законные представители) отдельных категорий детей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получения муниципальной услуги заявитель представляет: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Заявление о предоставлении муниципальной услуги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Документ, удостоверяющий личность заявителя, представителя.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Документ, подтверждающий право заявителя на получение услуги.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Style w:val="Style15"/>
                <w:rFonts w:eastAsia="Arial" w:cs="Liberation 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1) решение о предоставлении муниципальной услуги;</w:t>
            </w:r>
          </w:p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2) решение об отказе в предоставлении муниципальной услуги.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хранения результата услуги в МФЦ - 30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eastAsia="0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15 декабря 2022 года № 735 Об утверждении Административного регламента предоставления муниципальной услуги «Организация отдыха и оздоровления детей в каникулярное время»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Application>LibreOffice/7.3.7.2$Windows_X86_64 LibreOffice_project/e114eadc50a9ff8d8c8a0567d6da8f454beeb84f</Application>
  <AppVersion>15.0000</AppVersion>
  <Pages>2</Pages>
  <Words>183</Words>
  <Characters>1503</Characters>
  <CharactersWithSpaces>1657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2024-11-02T08:28:15Z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