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40"/>
                <w:szCs w:val="40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40"/>
                <w:szCs w:val="40"/>
                <w:shd w:fill="FFFFFF" w:val="clear"/>
                <w:lang w:val="ru-RU" w:eastAsia="ru-RU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организации: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1) являющаяся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2) являющаяся организацией связи, - для размещения линий или сооружений связи, указанных в подпункте 1 статьи 39.37 настоящего Кодекса,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3) являющаяся владельцем инженерного сооружения или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подпунктах 2 - 6 статьи 39.37 настоящего Кодекса;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4) предусмотренная пунктом 1 статьи 56.4 настоящего Кодекса и подавшая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4.1) являющаяся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4.2) осуществляющая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5) 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Интересы заявителей могут представлять лица, обладающие соответствующими полномочиями.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Управлением по муниципальному имуществу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1) Заявление о предоставлении муниципальной услуги 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2) Документ, удостоверяющего личность Заявителя или представителя Заявителя;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3) Документ, подтверждающий полномочия представителя Заявителя действовать от имени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4)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5)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6) документы, подтверждающие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 в Едином государственном реестре недвижимости.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7) Кадастровый план территории либо его фрагмент, на котором приводится изображение сравнительных вариантов размещения инженерного сооружения.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8) Договор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 с указанием сторон такого договора и сроков технологического присоединения, в целях исполнения которого требуется размещение инженерного сооружения.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Arial" w:cs="Arial"/>
                <w:b w:val="false"/>
                <w:bCs w:val="false"/>
                <w:color w:val="1C1C1C"/>
                <w:sz w:val="28"/>
                <w:szCs w:val="28"/>
                <w:shd w:fill="auto" w:val="clear"/>
              </w:rPr>
              <w:t>9) Проект организации строительства объекта.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1) Выписка из ЕГРЮЛ;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2) Выписка из ЕГРН о земельном участке;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3) Сведения о правообладателях земельных участков, в отношении которых подано ходатайство об установлении публичного сервитута;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4) Выписка из ЕГРН об инженерном сооружении.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1) решение об установлении публичного сервитута;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2) решение об отказе в предоставлении услуги 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45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Предоставление муниципальной услуги осуществляется бесплатно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документов - 30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8"/>
                <w:szCs w:val="28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23 марта 2023 года № 217 Об утверждении Административного регламента предоставления муниципальной услуги «Установление публичного сервитута в соответствии с Главой V.7. Земельного кодекса Российской Федерации»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LibreOffice/7.3.7.2$Windows_X86_64 LibreOffice_project/e114eadc50a9ff8d8c8a0567d6da8f454beeb84f</Application>
  <AppVersion>15.0000</AppVersion>
  <Pages>4</Pages>
  <Words>656</Words>
  <Characters>5093</Characters>
  <CharactersWithSpaces>5705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2024-11-02T08:50:30Z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