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8"/>
                  <w:szCs w:val="28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, индивидуальные предприниматели,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Заявление о переустройстве и (или) перепланировке помещения в многоквартирном доме;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окумент, удостоверяющего личность Заявителя;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Документ, подтверждающий полномочия представителя действовать от имени заявителя - случае, если заявление подается представителем.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      </w:r>
          </w:p>
          <w:p>
            <w:pPr>
              <w:pStyle w:val="ConsPlusNormal1"/>
              <w:widowControl w:val="false"/>
              <w:bidi w:val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Иные 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6"/>
                <w:rFonts w:cs="Times New Roman" w:ascii="Arial" w:hAnsi="Arial"/>
                <w:color w:val="000000"/>
                <w:sz w:val="28"/>
                <w:szCs w:val="28"/>
              </w:rPr>
              <w:t>1) Выписка из ЕГРЮЛ (в случае подачи заявления юридическим лицом);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6"/>
                <w:rFonts w:cs="Times New Roman" w:ascii="Arial" w:hAnsi="Arial"/>
                <w:color w:val="000000"/>
                <w:sz w:val="28"/>
                <w:szCs w:val="28"/>
              </w:rPr>
              <w:t>2) Выписка из ЕГРИП  (в случае подачи заявления индивидуальным предпринимателем);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bidi w:val="0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Выписка из ЕГРН об основных характеристиках и зарегистрированных правах на объект недвижимости.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Лицензия, удостоверяющая право заявителя на проведение работ по геологическому изучению недр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5) Иные документы, подтверждающие основания для предполагаемого использования земель или земельного участка (части земельного участка)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</w:rPr>
              <w:t>1) 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</w:rPr>
              <w:t>2) 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3) решение об отказе в предоставлении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Получение разрешения на использование земель - 25 календарных дней.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Получение разрешения на размещение объектов — 10 рабочих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Срок хранения результата услуги в МФЦ — 30 календарных дней с последующей передачей в Орган.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17 марта 2023 года № 202 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Шадринского муниципального округа Курганской области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LibreOffice/7.3.7.2$Windows_X86_64 LibreOffice_project/e114eadc50a9ff8d8c8a0567d6da8f454beeb84f</Application>
  <AppVersion>15.0000</AppVersion>
  <Pages>3</Pages>
  <Words>375</Words>
  <Characters>2867</Characters>
  <CharactersWithSpaces>3212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2024-11-02T08:24:38Z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