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лица,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Style w:val="FontStyle20"/>
                <w:rFonts w:eastAsia="Arial"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ontStyle20"/>
                <w:rFonts w:eastAsia="Arial" w:cs="PT Astra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zxx" w:bidi="zxx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val="ru-RU" w:eastAsia="ru-RU" w:bidi="zxx"/>
              </w:rPr>
              <w:t>уведомление;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правоустанавливающие документы на земельный участок  (если права на него не зарегистрированы В ЕГРН;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-заверенный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,если застройщиком является иностранное юридическое лицо);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  <w:lang w:val="ru-RU" w:eastAsia="zxx" w:bidi="zxx"/>
              </w:rPr>
              <w:t>технический план объекта индивидуального жилищного строительства или садового дома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zxx" w:bidi="zxx"/>
              </w:rPr>
              <w:t xml:space="preserve">-заключенное между 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  <w:lang w:val="ru-RU" w:eastAsia="zxx" w:bidi="zxx"/>
              </w:rPr>
              <w:t>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ind w:hanging="0"/>
              <w:jc w:val="both"/>
              <w:rPr>
                <w:rFonts w:ascii="Arial" w:hAnsi="Arial"/>
              </w:rPr>
            </w:pPr>
            <w:r>
              <w:rPr>
                <w:rFonts w:cs="PT Astra Serif" w:ascii="Arial" w:hAnsi="Arial"/>
                <w:bCs/>
                <w:color w:val="000000"/>
              </w:rPr>
              <w:t>-уведомление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autoSpaceDE w:val="false"/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-RU" w:eastAsia="zxx" w:bidi="zxx"/>
              </w:rPr>
              <w:t>-уведомление о несоответствии в случае наличия оснований, указанных в пункте 2.20 настоящего Административного регламента.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7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от 2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0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декабря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2023 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449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Об  утверждении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Административного регламента  предоставлени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я Администрацией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Курганской области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муниципальной услуги «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Российской Федерации о градостроительной деятельности» на территории Катайского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Application>LibreOffice/7.0.4.2$Windows_X86_64 LibreOffice_project/dcf040e67528d9187c66b2379df5ea4407429775</Application>
  <AppVersion>15.0000</AppVersion>
  <Pages>2</Pages>
  <Words>299</Words>
  <Characters>2534</Characters>
  <CharactersWithSpaces>2809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2024-11-02T11:31:17Z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