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color w:val="00000A"/>
                <w:sz w:val="24"/>
                <w:szCs w:val="24"/>
              </w:rPr>
              <w:t>Катайского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</w:t>
            </w:r>
            <w:r>
              <w:rPr>
                <w:rFonts w:cs="Arial" w:ascii="Arial" w:hAnsi="Arial"/>
                <w:sz w:val="24"/>
                <w:szCs w:val="24"/>
              </w:rPr>
              <w:t>изические лица, юридические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Style w:val="FontStyle20"/>
                <w:rFonts w:eastAsia="Arial" w:cs="Arial" w:ascii="Arial" w:hAnsi="Arial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Style w:val="FontStyle20"/>
                <w:rFonts w:eastAsia="Arial" w:cs="Arial" w:ascii="Arial" w:hAnsi="Arial"/>
                <w:color w:val="00000A"/>
                <w:sz w:val="24"/>
                <w:szCs w:val="24"/>
              </w:rPr>
              <w:t>Катайского</w:t>
            </w:r>
            <w:r>
              <w:rPr>
                <w:rStyle w:val="FontStyle20"/>
                <w:rFonts w:eastAsia="Arial" w:cs="Arial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>
        <w:trPr>
          <w:trHeight w:val="910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auto"/>
                <w:sz w:val="24"/>
                <w:szCs w:val="24"/>
                <w:lang w:val="ru-RU" w:eastAsia="zxx" w:bidi="zxx"/>
              </w:rPr>
              <w:t>Дача письменных разъяснений налогоплательщикам по вопросам применения нормативных правовых актов о местных налогах с борах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-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заявление;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заявителя, представителя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Cs/>
                <w:color w:val="000000"/>
                <w:sz w:val="24"/>
                <w:szCs w:val="24"/>
                <w:lang w:eastAsia="ru-RU"/>
              </w:rPr>
              <w:t>-документ, удостоверяющий полномочия представителя заявителя, в случае обращения за предоставлением муниципальной услуги представителя заявителя.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2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24"/>
                <w:szCs w:val="24"/>
                <w:u w:val="none"/>
                <w:shd w:fill="FFFFFF" w:val="clear"/>
                <w:lang w:eastAsia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val="ru-RU" w:eastAsia="ru-RU"/>
              </w:rPr>
              <w:t>-д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ача письменных разъяснений налогоплательщикам по вопросам применения нормативных правовых актов о местных налогах и сборах, либо отказ в даче письменных разъяснений;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-отказ в даче письменных разъяснений.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20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 xml:space="preserve">Постановление Администрации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>Катайского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 xml:space="preserve"> муниципального округа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Курганской области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от 2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 декабря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 xml:space="preserve">2023 №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zxx" w:eastAsia="zxx" w:bidi="zxx"/>
              </w:rPr>
              <w:t>476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 xml:space="preserve"> Об  утверждении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>Административного регламента по предоставлению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муниципальной услуги «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>Дача письменных разъяснений налогоплательщикам по вопросам применения нормативных правовых актов о местных налогах и сборах»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Application>LibreOffice/7.0.4.2$Windows_X86_64 LibreOffice_project/dcf040e67528d9187c66b2379df5ea4407429775</Application>
  <AppVersion>15.0000</AppVersion>
  <Pages>2</Pages>
  <Words>142</Words>
  <Characters>1166</Characters>
  <CharactersWithSpaces>1285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2024-11-05T16:01:10Z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