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</w:t>
            </w:r>
            <w:r>
              <w:rPr>
                <w:rFonts w:cs="Arial" w:ascii="Arial" w:hAnsi="Arial"/>
                <w:sz w:val="24"/>
                <w:szCs w:val="24"/>
              </w:rPr>
              <w:t>изические лица,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 w:eastAsia="zxx" w:bidi="zxx"/>
              </w:rPr>
              <w:t>Дача письменных разъяснений налогоплательщикам по вопросам применения нормативных правовых актов о местных налогах с борах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ru-RU"/>
              </w:rPr>
              <w:t>-д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ача письменных разъяснений налогоплательщикам по вопросам применения нормативных правовых актов о местных налогах и сборах, либо отказ в даче письменных разъяснений;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-отказ в даче письменных разъяснений.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20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от 2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декабря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476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Об  утверждении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Административного регламента по предоставлению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муниципальной услуги «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Дача письменных разъяснений налогоплательщикам по вопросам применения нормативных правовых актов о местных налогах и сборах»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LibreOffice/7.0.4.2$Windows_X86_64 LibreOffice_project/dcf040e67528d9187c66b2379df5ea4407429775</Application>
  <AppVersion>15.0000</AppVersion>
  <Pages>2</Pages>
  <Words>142</Words>
  <Characters>1166</Characters>
  <CharactersWithSpaces>1285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2024-11-05T16:01:10Z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