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Администрация </w:t>
            </w:r>
            <w:r>
              <w:rPr>
                <w:rFonts w:cs="Arial" w:ascii="Arial" w:hAnsi="Arial"/>
                <w:color w:val="00000A"/>
                <w:sz w:val="24"/>
                <w:szCs w:val="24"/>
              </w:rPr>
              <w:t>Катайского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 Курганской области</w:t>
            </w:r>
          </w:p>
        </w:tc>
      </w:tr>
      <w:tr>
        <w:trPr>
          <w:trHeight w:val="722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5"/>
              <w:ind w:left="1073" w:right="21" w:hanging="0"/>
              <w:jc w:val="both"/>
              <w:rPr>
                <w:rFonts w:ascii="Arial" w:hAnsi="Arial" w:eastAsia="Times New Roman" w:cs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shd w:fill="auto" w:val="clear"/>
              </w:rPr>
              <w:t>Физические и юридические лица</w:t>
            </w:r>
          </w:p>
        </w:tc>
      </w:tr>
      <w:tr>
        <w:trPr>
          <w:trHeight w:val="45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FontStyle20"/>
                <w:rFonts w:eastAsia="Arial" w:cs="Times New Roman" w:ascii="Arial" w:hAnsi="Arial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Style w:val="FontStyle20"/>
                <w:rFonts w:eastAsia="Arial" w:cs="Times New Roman" w:ascii="Arial" w:hAnsi="Arial"/>
                <w:color w:val="00000A"/>
                <w:sz w:val="24"/>
                <w:szCs w:val="24"/>
              </w:rPr>
              <w:t>Катайского</w:t>
            </w:r>
            <w:r>
              <w:rPr>
                <w:rStyle w:val="FontStyle20"/>
                <w:rFonts w:eastAsia="Arial" w:cs="Times New Roman" w:ascii="Arial" w:hAnsi="Arial"/>
                <w:color w:val="000000"/>
                <w:sz w:val="24"/>
                <w:szCs w:val="24"/>
              </w:rPr>
              <w:t xml:space="preserve"> муниципального округа Курганской области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</w:rPr>
              <w:t xml:space="preserve">Присвоение </w:t>
            </w:r>
            <w:r>
              <w:rPr>
                <w:rFonts w:cs="Arial" w:ascii="Arial" w:hAnsi="Arial"/>
                <w:b w:val="false"/>
                <w:bCs/>
                <w:color w:val="auto"/>
                <w:sz w:val="24"/>
                <w:szCs w:val="24"/>
              </w:rPr>
              <w:t>адреса объекту адресации, изменение и аннулирование такого адреса</w:t>
            </w:r>
          </w:p>
        </w:tc>
      </w:tr>
      <w:tr>
        <w:trPr>
          <w:trHeight w:val="1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before="0" w:after="0"/>
              <w:jc w:val="left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 xml:space="preserve">- заявление </w:t>
            </w: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о присвоении/</w:t>
            </w: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аннулировании</w:t>
            </w: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 xml:space="preserve"> адреса;</w:t>
            </w:r>
          </w:p>
          <w:p>
            <w:pPr>
              <w:pStyle w:val="Normal"/>
              <w:bidi w:val="0"/>
              <w:spacing w:before="0" w:after="0"/>
              <w:ind w:left="0" w:right="0"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- документ, удостоверяющий личность заявителя или представителя заявителя;</w:t>
            </w:r>
          </w:p>
          <w:p>
            <w:pPr>
              <w:pStyle w:val="Normal"/>
              <w:bidi w:val="0"/>
              <w:spacing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- документ, подтверждающий полномочия представителя заявителя действовать от имени заявителя </w:t>
            </w:r>
            <w:r>
              <w:rPr>
                <w:rFonts w:cs="Arial" w:ascii="Arial" w:hAnsi="Arial"/>
                <w:sz w:val="24"/>
                <w:szCs w:val="24"/>
                <w:shd w:fill="auto" w:val="clear"/>
              </w:rPr>
              <w:t>(в случае обращения за получением услуги представителя заявителя);</w:t>
            </w:r>
          </w:p>
          <w:p>
            <w:pPr>
              <w:pStyle w:val="Normal"/>
              <w:bidi w:val="0"/>
              <w:spacing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  <w:shd w:fill="auto" w:val="clear"/>
              </w:rPr>
              <w:t>-</w:t>
            </w:r>
            <w:r>
              <w:rPr>
                <w:rFonts w:cs="Times New Roman" w:ascii="Arial" w:hAnsi="Arial"/>
                <w:color w:val="000000"/>
                <w:sz w:val="24"/>
                <w:szCs w:val="24"/>
                <w:shd w:fill="auto" w:val="clear"/>
              </w:rPr>
              <w:t>пр</w:t>
            </w:r>
            <w:r>
              <w:rPr>
                <w:rFonts w:cs="Times New Roman" w:ascii="Arial" w:hAnsi="Arial"/>
                <w:color w:val="000000"/>
                <w:sz w:val="24"/>
                <w:szCs w:val="24"/>
              </w:rPr>
              <w:t xml:space="preserve">авоустанавливающие и (или) правоудостоверяющие документы на объект (объекты) адресации </w:t>
            </w:r>
            <w:r>
              <w:rPr>
                <w:rFonts w:cs="Times New Roman" w:ascii="Arial" w:hAnsi="Arial"/>
                <w:color w:val="000000"/>
                <w:sz w:val="24"/>
                <w:szCs w:val="24"/>
                <w:shd w:fill="auto" w:val="clear"/>
              </w:rPr>
              <w:t>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требуется, правоустанавливающие и (или) правоудостоверяющие документы на земельный участок, на котором расположены указанное здание (строение), сооружение);</w:t>
            </w:r>
          </w:p>
          <w:p>
            <w:pPr>
              <w:pStyle w:val="Normal"/>
              <w:bidi w:val="0"/>
              <w:spacing w:before="0" w:after="5"/>
              <w:ind w:left="50" w:right="21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Times New Roman" w:ascii="Arial" w:hAnsi="Arial"/>
                <w:color w:val="000000"/>
                <w:sz w:val="24"/>
                <w:szCs w:val="24"/>
              </w:rPr>
              <w:t>-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</w:t>
            </w:r>
            <w:r>
              <w:rPr>
                <w:rFonts w:cs="Times New Roman" w:ascii="Arial" w:hAnsi="Arial"/>
                <w:color w:val="000000"/>
                <w:sz w:val="24"/>
                <w:szCs w:val="24"/>
                <w:shd w:fill="auto" w:val="clear"/>
              </w:rPr>
              <w:t xml:space="preserve"> (в случае преобразования объектов недвижимости с образованием одного и более новых объектов адресации);</w:t>
            </w:r>
          </w:p>
          <w:p>
            <w:pPr>
              <w:pStyle w:val="Normal"/>
              <w:bidi w:val="0"/>
              <w:spacing w:before="0" w:after="5"/>
              <w:ind w:left="50" w:right="21" w:hanging="0"/>
              <w:jc w:val="both"/>
              <w:rPr>
                <w:rFonts w:ascii="Arial" w:hAnsi="Arial"/>
                <w:sz w:val="24"/>
                <w:szCs w:val="24"/>
                <w:shd w:fill="auto" w:val="clear"/>
              </w:rPr>
            </w:pPr>
            <w:r>
              <w:rPr>
                <w:rFonts w:cs="Times New Roman" w:ascii="Arial" w:hAnsi="Arial"/>
                <w:color w:val="000000"/>
                <w:sz w:val="24"/>
                <w:szCs w:val="24"/>
                <w:shd w:fill="auto" w:val="clear"/>
              </w:rPr>
              <w:t>- 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      </w:r>
          </w:p>
          <w:p>
            <w:pPr>
              <w:pStyle w:val="Normal"/>
              <w:bidi w:val="0"/>
              <w:spacing w:before="0" w:after="5"/>
              <w:ind w:left="50" w:right="21" w:hanging="0"/>
              <w:jc w:val="both"/>
              <w:rPr>
                <w:rFonts w:ascii="Arial" w:hAnsi="Arial"/>
                <w:sz w:val="24"/>
                <w:szCs w:val="24"/>
                <w:shd w:fill="auto" w:val="clear"/>
              </w:rPr>
            </w:pPr>
            <w:r>
              <w:rPr>
                <w:rFonts w:cs="Times New Roman" w:ascii="Arial" w:hAnsi="Arial"/>
                <w:color w:val="000000"/>
                <w:sz w:val="24"/>
                <w:szCs w:val="24"/>
                <w:shd w:fill="auto" w:val="clear"/>
              </w:rPr>
              <w:t>-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      </w:r>
          </w:p>
          <w:p>
            <w:pPr>
              <w:pStyle w:val="Normal"/>
              <w:bidi w:val="0"/>
              <w:spacing w:before="0" w:after="5"/>
              <w:ind w:left="50" w:right="21" w:hanging="0"/>
              <w:jc w:val="both"/>
              <w:rPr>
                <w:rFonts w:ascii="Arial" w:hAnsi="Arial"/>
                <w:sz w:val="24"/>
                <w:szCs w:val="24"/>
                <w:shd w:fill="auto" w:val="clear"/>
              </w:rPr>
            </w:pPr>
            <w:r>
              <w:rPr>
                <w:rFonts w:cs="Times New Roman" w:ascii="Arial" w:hAnsi="Arial"/>
                <w:color w:val="000000"/>
                <w:sz w:val="24"/>
                <w:szCs w:val="24"/>
                <w:shd w:fill="auto" w:val="clear"/>
              </w:rPr>
              <w:t>-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      </w:r>
          </w:p>
          <w:p>
            <w:pPr>
              <w:pStyle w:val="Normal"/>
              <w:bidi w:val="0"/>
              <w:spacing w:before="0" w:after="5"/>
              <w:ind w:left="50" w:right="21" w:hanging="0"/>
              <w:jc w:val="both"/>
              <w:rPr>
                <w:rFonts w:ascii="Arial" w:hAnsi="Arial"/>
                <w:sz w:val="24"/>
                <w:szCs w:val="24"/>
                <w:shd w:fill="auto" w:val="clear"/>
              </w:rPr>
            </w:pPr>
            <w:r>
              <w:rPr>
                <w:rFonts w:cs="Times New Roman" w:ascii="Arial" w:hAnsi="Arial"/>
                <w:color w:val="000000"/>
                <w:sz w:val="24"/>
                <w:szCs w:val="24"/>
                <w:shd w:fill="auto" w:val="clear"/>
              </w:rPr>
              <w:t>- 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      </w:r>
          </w:p>
          <w:p>
            <w:pPr>
              <w:pStyle w:val="Normal"/>
              <w:bidi w:val="0"/>
              <w:spacing w:before="0" w:after="5"/>
              <w:ind w:left="50" w:right="21" w:hanging="0"/>
              <w:jc w:val="both"/>
              <w:rPr>
                <w:rFonts w:ascii="Arial" w:hAnsi="Arial"/>
                <w:sz w:val="24"/>
                <w:szCs w:val="24"/>
                <w:shd w:fill="auto" w:val="clear"/>
              </w:rPr>
            </w:pPr>
            <w:r>
              <w:rPr>
                <w:rFonts w:cs="Times New Roman" w:ascii="Arial" w:hAnsi="Arial"/>
                <w:color w:val="000000"/>
                <w:sz w:val="24"/>
                <w:szCs w:val="24"/>
                <w:shd w:fill="auto" w:val="clear"/>
              </w:rPr>
              <w:t>-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      </w:r>
          </w:p>
          <w:p>
            <w:pPr>
              <w:pStyle w:val="Normal"/>
              <w:bidi w:val="0"/>
              <w:spacing w:before="0" w:after="5"/>
              <w:ind w:left="50" w:right="21" w:hanging="0"/>
              <w:jc w:val="both"/>
              <w:rPr>
                <w:rFonts w:ascii="Arial" w:hAnsi="Arial"/>
                <w:sz w:val="24"/>
                <w:szCs w:val="24"/>
                <w:shd w:fill="auto" w:val="clear"/>
              </w:rPr>
            </w:pPr>
            <w:r>
              <w:rPr>
                <w:rFonts w:cs="Times New Roman" w:ascii="Arial" w:hAnsi="Arial"/>
                <w:color w:val="000000"/>
                <w:sz w:val="24"/>
                <w:szCs w:val="24"/>
                <w:shd w:fill="auto" w:val="clear"/>
              </w:rPr>
              <w:t>- 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основаниям, указанным в подпункте «а» пункта 14 Правил</w:t>
            </w:r>
            <w:r>
              <w:rPr>
                <w:rFonts w:cs="Times New Roman" w:ascii="Arial" w:hAnsi="Arial"/>
                <w:color w:val="000000"/>
                <w:sz w:val="24"/>
                <w:szCs w:val="24"/>
                <w:shd w:fill="auto" w:val="clear"/>
              </w:rPr>
              <w:t>)</w:t>
            </w:r>
            <w:r>
              <w:rPr>
                <w:rFonts w:cs="Times New Roman" w:ascii="Arial" w:hAnsi="Arial"/>
                <w:color w:val="000000"/>
                <w:sz w:val="24"/>
                <w:szCs w:val="24"/>
                <w:shd w:fill="auto" w:val="clear"/>
              </w:rPr>
              <w:t>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 w:eastAsia="Times New Roman" w:cs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-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подпункте «а» пункта 14 Правил).</w:t>
            </w:r>
          </w:p>
        </w:tc>
      </w:tr>
      <w:tr>
        <w:trPr>
          <w:trHeight w:val="732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</w:r>
          </w:p>
        </w:tc>
      </w:tr>
      <w:tr>
        <w:trPr>
          <w:trHeight w:val="1828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numPr>
                <w:ilvl w:val="0"/>
                <w:numId w:val="1"/>
              </w:numPr>
              <w:spacing w:before="0" w:after="0"/>
              <w:jc w:val="left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4"/>
                <w:szCs w:val="24"/>
                <w:u w:val="none"/>
                <w:shd w:fill="FFFFFF" w:val="clear"/>
                <w:lang w:eastAsia="ru-RU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u w:val="none"/>
                <w:shd w:fill="FFFFFF" w:val="clear"/>
                <w:lang w:eastAsia="ru-RU"/>
              </w:rPr>
              <w:t xml:space="preserve">- выдача (направление)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u w:val="none"/>
                <w:shd w:fill="FFFFFF" w:val="clear"/>
                <w:lang w:eastAsia="ru-RU"/>
              </w:rPr>
              <w:t>решения Уполномоченного органа о присвоении адреса объекту адресации;</w:t>
            </w:r>
          </w:p>
          <w:p>
            <w:pPr>
              <w:pStyle w:val="Normal"/>
              <w:numPr>
                <w:ilvl w:val="0"/>
                <w:numId w:val="1"/>
              </w:numPr>
              <w:spacing w:before="0" w:after="0"/>
              <w:jc w:val="left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4"/>
                <w:szCs w:val="24"/>
                <w:u w:val="none"/>
                <w:shd w:fill="FFFFFF" w:val="clear"/>
                <w:lang w:eastAsia="ru-RU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u w:val="none"/>
                <w:shd w:fill="FFFFFF" w:val="clear"/>
                <w:lang w:eastAsia="ru-RU"/>
              </w:rPr>
              <w:t xml:space="preserve">- выдача (направление)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u w:val="none"/>
                <w:shd w:fill="FFFFFF" w:val="clear"/>
                <w:lang w:eastAsia="ru-RU"/>
              </w:rPr>
              <w:t>решения Уполномоченного органа об аннулировании адреса объекту адресации (допускается объединение с решением о присвоении адреса объекту адресации);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134" w:leader="none"/>
              </w:tabs>
              <w:spacing w:before="0" w:after="0"/>
              <w:jc w:val="left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4"/>
                <w:szCs w:val="24"/>
                <w:u w:val="none"/>
                <w:shd w:fill="FFFFFF" w:val="clear"/>
                <w:lang w:eastAsia="ru-RU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u w:val="none"/>
                <w:shd w:fill="FFFFFF" w:val="clear"/>
                <w:lang w:eastAsia="ru-RU"/>
              </w:rPr>
              <w:t xml:space="preserve">- выдача (направление)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u w:val="none"/>
                <w:shd w:fill="FFFFFF" w:val="clear"/>
                <w:lang w:eastAsia="ru-RU"/>
              </w:rPr>
              <w:t>решения Уполномоченного органа об отказе в присвоении объекту адресации адреса или аннулировании его адреса;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spacing w:before="0" w:after="200"/>
              <w:ind w:left="-491"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10 рабочих дней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006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Отсутствуют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0"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остановление Администрации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>Катайского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 муниципального округа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>Курганской области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>11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>декабря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 2023 года №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>416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 Об  утверждении  Административного  регламента предоставления Администрацией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>Катайского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 муниципального округа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>Курганской области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  муниципальной услуги «Присвоение адреса объекту адресации, изменение и аннулирование такого адреса»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>на территории Катайского муниципального округа Курганской области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swiss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217" w:hanging="708"/>
      </w:pPr>
      <w:rPr>
        <w:sz w:val="24"/>
        <w:spacing w:val="0"/>
        <w:i w:val="false"/>
        <w:b w:val="false"/>
        <w:szCs w:val="28"/>
        <w:iCs w:val="false"/>
        <w:bCs w:val="false"/>
        <w:w w:val="100"/>
        <w:rFonts w:ascii="Liberation Sans" w:hAnsi="Liberation Sans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48" w:hanging="708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77" w:hanging="70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05" w:hanging="70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34" w:hanging="70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62" w:hanging="70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91" w:hanging="70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19" w:hanging="70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48" w:hanging="708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1073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8"/>
        <w:rFonts w:ascii="Liberation Sans" w:hAnsi="Liberation Sans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814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34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54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74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94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414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34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54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2" w:customStyle="1">
    <w:name w:val="Содержимое таблицы"/>
    <w:basedOn w:val="Normal"/>
    <w:qFormat/>
    <w:pPr/>
    <w:rPr/>
  </w:style>
  <w:style w:type="paragraph" w:styleId="Style23" w:customStyle="1">
    <w:name w:val="Заголовок таблицы"/>
    <w:basedOn w:val="Style22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Application>LibreOffice/7.0.4.2$Windows_X86_64 LibreOffice_project/dcf040e67528d9187c66b2379df5ea4407429775</Application>
  <AppVersion>15.0000</AppVersion>
  <Pages>3</Pages>
  <Words>512</Words>
  <Characters>3858</Characters>
  <CharactersWithSpaces>4336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2024-11-05T15:04:32Z</dcterms:modified>
  <cp:revision>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