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start="0" w:hanging="0"/>
        <w:jc w:val="center"/>
        <w:rPr>
          <w:rFonts w:ascii="Arial" w:hAnsi="Arial"/>
          <w:b/>
          <w:i w:val="false"/>
          <w:i w:val="false"/>
          <w:strike w:val="false"/>
          <w:dstrike w:val="false"/>
          <w:sz w:val="20"/>
          <w:u w:val="none"/>
        </w:rPr>
      </w:pPr>
      <w:r>
        <w:rPr>
          <w:rFonts w:ascii="Arial" w:hAnsi="Arial"/>
          <w:b/>
          <w:i w:val="false"/>
          <w:strike w:val="false"/>
          <w:dstrike w:val="false"/>
          <w:sz w:val="24"/>
          <w:szCs w:val="24"/>
          <w:u w:val="none"/>
        </w:rPr>
        <w:t>Перечень документов (сведений), необходимых для предоставления субсидии на оплату жилого помещения и коммунальных услуг.</w:t>
      </w:r>
    </w:p>
    <w:p>
      <w:pPr>
        <w:pStyle w:val="Normal"/>
        <w:bidi w:val="0"/>
        <w:jc w:val="start"/>
        <w:rPr/>
      </w:pPr>
      <w:r>
        <w:rPr/>
      </w:r>
    </w:p>
    <w:p>
      <w:pPr>
        <w:pStyle w:val="Normal"/>
        <w:widowControl w:val="false"/>
        <w:numPr>
          <w:ilvl w:val="0"/>
          <w:numId w:val="0"/>
        </w:numPr>
        <w:bidi w:val="0"/>
        <w:ind w:start="0" w:hanging="0"/>
        <w:jc w:val="both"/>
        <w:outlineLvl w:val="0"/>
        <w:rPr>
          <w:rFonts w:ascii="Arial" w:hAnsi="Arial"/>
          <w:b w:val="false"/>
          <w:i w:val="false"/>
          <w:i w:val="false"/>
          <w:strike w:val="false"/>
          <w:dstrike w:val="false"/>
          <w:sz w:val="20"/>
          <w:u w:val="none"/>
        </w:rPr>
      </w:pPr>
      <w:r>
        <w:rPr>
          <w:rFonts w:ascii="Arial" w:hAnsi="Arial"/>
          <w:b w:val="false"/>
          <w:i w:val="false"/>
          <w:strike w:val="false"/>
          <w:dstrike w:val="false"/>
          <w:sz w:val="20"/>
          <w:u w:val="none"/>
        </w:rPr>
      </w:r>
    </w:p>
    <w:tbl>
      <w:tblPr>
        <w:tblW w:w="9350" w:type="dxa"/>
        <w:jc w:val="start"/>
        <w:tblInd w:w="104" w:type="dxa"/>
        <w:tblLayout w:type="fixed"/>
        <w:tblCellMar>
          <w:top w:w="102" w:type="dxa"/>
          <w:start w:w="62" w:type="dxa"/>
          <w:bottom w:w="102" w:type="dxa"/>
          <w:end w:w="62" w:type="dxa"/>
        </w:tblCellMar>
      </w:tblPr>
      <w:tblGrid>
        <w:gridCol w:w="463"/>
        <w:gridCol w:w="4187"/>
        <w:gridCol w:w="4700"/>
      </w:tblGrid>
      <w:tr>
        <w:trPr/>
        <w:tc>
          <w:tcPr>
            <w:tcW w:w="4650" w:type="dxa"/>
            <w:gridSpan w:val="2"/>
            <w:tcBorders>
              <w:top w:val="single" w:sz="4" w:space="0" w:color="000000"/>
              <w:bottom w:val="single" w:sz="4" w:space="0" w:color="000000"/>
              <w:end w:val="single" w:sz="4" w:space="0" w:color="000000"/>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Наименование документа (сведений)</w:t>
            </w:r>
          </w:p>
        </w:tc>
        <w:tc>
          <w:tcPr>
            <w:tcW w:w="4700" w:type="dxa"/>
            <w:tcBorders>
              <w:top w:val="single" w:sz="4" w:space="0" w:color="000000"/>
              <w:start w:val="single" w:sz="4" w:space="0" w:color="000000"/>
              <w:bottom w:val="single" w:sz="4" w:space="0" w:color="000000"/>
            </w:tcBorders>
          </w:tcPr>
          <w:p>
            <w:pPr>
              <w:pStyle w:val="Normal"/>
              <w:widowControl w:val="false"/>
              <w:tabs>
                <w:tab w:val="clear" w:pos="709"/>
              </w:tabs>
              <w:bidi w:val="0"/>
              <w:ind w:start="0" w:hanging="0"/>
              <w:jc w:val="center"/>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Источник документов (сведений)</w:t>
            </w:r>
          </w:p>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способ получения</w:t>
            </w:r>
          </w:p>
        </w:tc>
      </w:tr>
      <w:tr>
        <w:trPr/>
        <w:tc>
          <w:tcPr>
            <w:tcW w:w="463" w:type="dxa"/>
            <w:tcBorders>
              <w:top w:val="single" w:sz="4" w:space="0" w:color="000000"/>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1.</w:t>
            </w:r>
          </w:p>
        </w:tc>
        <w:tc>
          <w:tcPr>
            <w:tcW w:w="4187" w:type="dxa"/>
            <w:tcBorders>
              <w:top w:val="single" w:sz="4" w:space="0" w:color="000000"/>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 xml:space="preserve">Сведения о наличии (отсутствии) у граждан, указанных в </w:t>
            </w:r>
            <w:hyperlink r:id="rId2">
              <w:r>
                <w:rPr>
                  <w:rFonts w:ascii="Arial" w:hAnsi="Arial"/>
                  <w:b w:val="false"/>
                  <w:i w:val="false"/>
                  <w:strike w:val="false"/>
                  <w:dstrike w:val="false"/>
                  <w:color w:val="0000FF"/>
                  <w:sz w:val="20"/>
                  <w:u w:val="none"/>
                </w:rPr>
                <w:t>пункте 3</w:t>
              </w:r>
            </w:hyperlink>
            <w:r>
              <w:rPr>
                <w:rFonts w:ascii="Arial" w:hAnsi="Arial"/>
                <w:b w:val="false"/>
                <w:i w:val="false"/>
                <w:strike w:val="false"/>
                <w:dstrike w:val="false"/>
                <w:sz w:val="20"/>
                <w:u w:val="none"/>
              </w:rPr>
              <w:t xml:space="preserve">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N 761 "О предоставлении субсидий на оплату жилого помещения и коммунальных услуг", и членов семей граждан, указанных в </w:t>
            </w:r>
            <w:hyperlink r:id="rId3">
              <w:r>
                <w:rPr>
                  <w:rFonts w:ascii="Arial" w:hAnsi="Arial"/>
                  <w:b w:val="false"/>
                  <w:i w:val="false"/>
                  <w:strike w:val="false"/>
                  <w:dstrike w:val="false"/>
                  <w:color w:val="0000FF"/>
                  <w:sz w:val="20"/>
                  <w:u w:val="none"/>
                </w:rPr>
                <w:t>пункте 5</w:t>
              </w:r>
            </w:hyperlink>
            <w:r>
              <w:rPr>
                <w:rFonts w:ascii="Arial" w:hAnsi="Arial"/>
                <w:b w:val="false"/>
                <w:i w:val="false"/>
                <w:strike w:val="false"/>
                <w:dstrike w:val="false"/>
                <w:sz w:val="20"/>
                <w:u w:val="none"/>
              </w:rPr>
              <w:t xml:space="preserve"> этих Правил (далее - заявители),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tc>
        <w:tc>
          <w:tcPr>
            <w:tcW w:w="4700" w:type="dxa"/>
            <w:tcBorders>
              <w:top w:val="single" w:sz="4" w:space="0" w:color="000000"/>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Минстрой России (акционерное общество "Оператор информационной системы", государственная информационная система жилищно-коммунального хозяйства) посредством системы межведомственного электронного взаимодействия</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2.</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Копии документов, удостоверяющих принадлежность заявителя - иностранного гражданина 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субсидий (с предъявлением оригинала, если копия нотариально не заверена)</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3.</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суммах, начисленных получателю субсидии для оплаты за жилое помещение и коммунальные услуги, и сведения о суммах, уплаченных получателем субсидии за жилое помещение и коммунальные услуги</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Минстрой России (акционерное общество "Оператор информационной системы", государственная информационная система жилищно-коммунального хозяйства при наличии таких сведений в указанной системе)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4.</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подтверждающие правовые основания владения и пользования заявителем жилым помещением, в котором заявитель зарегистрирован по месту жительства</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Росреестр (публично-правовая компания "Роскадастр")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5.</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государственной регистрации рождения</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(Единый государственный реестр записей актов гражданского состояния)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(в случае регистрации записи соответствующего акта компетентным органом иностранного государства)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6.</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государственной регистрации смерти</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(Единый государственный реестр записей актов гражданского состояния)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(в случае регистрации записи соответствующего акта компетентным органом иностранного государства)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7.</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государственной регистрации заключения (расторжения) брака</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(Единый государственный реестр записей актов гражданского состояния)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(в случае регистрации записи соответствующего акта компетентным органом иностранного государства)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8.</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содержащиеся в решении органа опеки и попечительства об установлении опеки или попечительства над членом семьи</w:t>
            </w:r>
          </w:p>
        </w:tc>
        <w:tc>
          <w:tcPr>
            <w:tcW w:w="4700"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 (далее - Единая централизованная цифровая платформа в социальной сфере) посредством системы межведомственного электронного взаимодействия</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9.</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 xml:space="preserve">Сведения о родственниках и нетрудоспособных иждивенцах, являющихся членами семьи заявителя в соответствии со </w:t>
            </w:r>
            <w:hyperlink r:id="rId4">
              <w:r>
                <w:rPr>
                  <w:rFonts w:ascii="Arial" w:hAnsi="Arial"/>
                  <w:b w:val="false"/>
                  <w:i w:val="false"/>
                  <w:strike w:val="false"/>
                  <w:dstrike w:val="false"/>
                  <w:color w:val="0000FF"/>
                  <w:sz w:val="20"/>
                  <w:u w:val="none"/>
                </w:rPr>
                <w:t>статьями 31</w:t>
              </w:r>
            </w:hyperlink>
            <w:r>
              <w:rPr>
                <w:rFonts w:ascii="Arial" w:hAnsi="Arial"/>
                <w:b w:val="false"/>
                <w:i w:val="false"/>
                <w:strike w:val="false"/>
                <w:dstrike w:val="false"/>
                <w:sz w:val="20"/>
                <w:u w:val="none"/>
              </w:rPr>
              <w:t xml:space="preserve"> и </w:t>
            </w:r>
            <w:hyperlink r:id="rId5">
              <w:r>
                <w:rPr>
                  <w:rFonts w:ascii="Arial" w:hAnsi="Arial"/>
                  <w:b w:val="false"/>
                  <w:i w:val="false"/>
                  <w:strike w:val="false"/>
                  <w:dstrike w:val="false"/>
                  <w:color w:val="0000FF"/>
                  <w:sz w:val="20"/>
                  <w:u w:val="none"/>
                </w:rPr>
                <w:t>69</w:t>
              </w:r>
            </w:hyperlink>
            <w:r>
              <w:rPr>
                <w:rFonts w:ascii="Arial" w:hAnsi="Arial"/>
                <w:b w:val="false"/>
                <w:i w:val="false"/>
                <w:strike w:val="false"/>
                <w:dstrike w:val="false"/>
                <w:sz w:val="20"/>
                <w:u w:val="none"/>
              </w:rPr>
              <w:t xml:space="preserve"> Жилищного кодекса Российской Федерации</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10.</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признании в судебном порядке лиц, проживающих совместно с заявителем по месту постоянного жительства, членами его семьи</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11.</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12.</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доходах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(по запросу в Минобороны России, Росгвардии, ФССП России, ФТС России),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13.</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военнослужащих и гражданского персонала Главного управления специальных программ Президента Российской Федерации (за исключением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14.</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tc>
        <w:tc>
          <w:tcPr>
            <w:tcW w:w="4700"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Фонд пенсионного и социального страхования Российской Федерации (Единая централизованная цифровая платформа в социальной сфере) посредством системы межведомственного электронного взаимодействия</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15.</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16.</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4700"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Фонд пенсионного и социального страхования Российской Федерации (Единая централизованная цифровая платформа в социальной сфере) посредством системы межведомственного электронного взаимодействия</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17.</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18.</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доходах в виде процентов по вкладам (остаткам на счетах в банках)</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19.</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20.</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доходах, полученных в рамках применения специального налогового режима "Налог на профессиональный доход"</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21.</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доходах по договорам авторского заказа, договорам об отчуждении исключительного права на результаты интеллектуальной деятельности</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22.</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налогооблагаемых доходах от реализации имущества, а также сдачи в аренду (наем, поднаем) имущества</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23.</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регистрации по месту жительства и месту пребывания гражданина Российской Федерации в пределах Российской Федерации</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МВД России (ведомственная информационная система) посредством системы межведомственного электронного взаимодействия - до 1 января 2026 г.;</w:t>
            </w:r>
          </w:p>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24.</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МВД России (ведомственная информационная система) посредством системы межведомственного электронного взаимодействия - до 1 января 2026 г.;</w:t>
            </w:r>
          </w:p>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25.</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получаемых алиментах</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ФССП России (ведомственная информационная система) посредством системы межведомственного электронного взаимодействия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отражения суммы получаемых алиментов в заявлении</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26.</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пребывании в местах лишения свободы членов семьи заявителя</w:t>
            </w:r>
          </w:p>
        </w:tc>
        <w:tc>
          <w:tcPr>
            <w:tcW w:w="4700"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ФСИН России (ведомственная информационная система) посредством системы межведомственного электронного взаимодействия</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27.</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наличии инвалидности и ее группе (при наличии)</w:t>
            </w:r>
          </w:p>
        </w:tc>
        <w:tc>
          <w:tcPr>
            <w:tcW w:w="4700"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Фонд пенсионного и социального страхования Российской Федерации (Единая централизованная цифровая платформа в социальной сфере) посредством системы межведомственного электронного взаимодействия (запрос сведений должен осуществляться по каждому поступившему заявлению)</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28.</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нахождении заявителя и (или) членов его семьи на полном государственном обеспечении</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29.</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30.</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нахождении заявителя и (или) членов его семьи на принудительном лечении по решению суда</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31.</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применении в отношении заявителя и (или) членов его семьи меры пресечения в виде заключения под стражу</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ФСИН России (ведомственная информационная система)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32.</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33.</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суммах ежемесячного пожизненного содержания судей, вышедших в отставку</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34.</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tc>
        <w:tc>
          <w:tcPr>
            <w:tcW w:w="4700"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исполнительный орган субъекта Российской Федерации, уполномоченный на осуществление таких выплат по решению исполнительного органа соответствующего субъекта Российской Федерации</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35.</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36.</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суммах дохода, полученного от источников за пределами Российской Федерации</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37.</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38.</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39.</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4700" w:type="dxa"/>
            <w:tcBorders/>
          </w:tcPr>
          <w:p>
            <w:pPr>
              <w:pStyle w:val="Normal"/>
              <w:widowControl w:val="false"/>
              <w:tabs>
                <w:tab w:val="clear" w:pos="709"/>
              </w:tabs>
              <w:bidi w:val="0"/>
              <w:ind w:start="0" w:hanging="0"/>
              <w:jc w:val="start"/>
              <w:rPr>
                <w:rFonts w:ascii="Arial" w:hAnsi="Arial"/>
                <w:b w:val="false"/>
                <w:i w:val="false"/>
                <w:i w:val="false"/>
                <w:strike w:val="false"/>
                <w:dstrike w:val="false"/>
                <w:sz w:val="20"/>
                <w:u w:val="none"/>
              </w:rPr>
            </w:pPr>
            <w:r>
              <w:rPr>
                <w:rFonts w:ascii="Arial" w:hAnsi="Arial"/>
                <w:b w:val="false"/>
                <w:i w:val="false"/>
                <w:strike w:val="false"/>
                <w:dstrike w:val="false"/>
                <w:sz w:val="20"/>
                <w:u w:val="none"/>
              </w:rPr>
              <w:t>ФНС России (автоматизированная информационная система "Налог-3"), за исключением случая, когда предоставление субсидии осуществляется уполномоченными органами, не являющимися органами субъектов Российской Федерации, уполномоченными в сфере социальной защиты населения, посредством системы межведомственного электронного взаимодействия;</w:t>
            </w:r>
          </w:p>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40.</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Единовременная материальная помощь, выплачиваемая за счет средств федерального бюджета, бюджетов субъектов Российской Федерации, местных бюджетов и иных источников на лечение ребенка</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41.</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лицах, признанных безвестно отсутствующими или объявленных умершими</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и (или члены его семьи) посредством представления подтверждающих документов</w:t>
            </w:r>
          </w:p>
        </w:tc>
      </w:tr>
      <w:tr>
        <w:trPr/>
        <w:tc>
          <w:tcPr>
            <w:tcW w:w="463" w:type="dxa"/>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42.</w:t>
            </w:r>
          </w:p>
        </w:tc>
        <w:tc>
          <w:tcPr>
            <w:tcW w:w="4187" w:type="dxa"/>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нахождении заявителя и (или) членов его семьи в розыске</w:t>
            </w:r>
          </w:p>
        </w:tc>
        <w:tc>
          <w:tcPr>
            <w:tcW w:w="4700" w:type="dxa"/>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и (или члены его семьи) посредством представления подтверждающих документов</w:t>
            </w:r>
          </w:p>
        </w:tc>
      </w:tr>
      <w:tr>
        <w:trPr/>
        <w:tc>
          <w:tcPr>
            <w:tcW w:w="463" w:type="dxa"/>
            <w:tcBorders>
              <w:bottom w:val="single" w:sz="4" w:space="0" w:color="000000"/>
            </w:tcBorders>
          </w:tcPr>
          <w:p>
            <w:pPr>
              <w:pStyle w:val="Normal"/>
              <w:widowControl w:val="false"/>
              <w:tabs>
                <w:tab w:val="clear" w:pos="709"/>
              </w:tabs>
              <w:bidi w:val="0"/>
              <w:ind w:start="0" w:hanging="0"/>
              <w:jc w:val="center"/>
              <w:rPr/>
            </w:pPr>
            <w:r>
              <w:rPr>
                <w:rFonts w:ascii="Arial" w:hAnsi="Arial"/>
                <w:b w:val="false"/>
                <w:i w:val="false"/>
                <w:strike w:val="false"/>
                <w:dstrike w:val="false"/>
                <w:sz w:val="20"/>
                <w:u w:val="none"/>
              </w:rPr>
              <w:t>43.</w:t>
            </w:r>
          </w:p>
        </w:tc>
        <w:tc>
          <w:tcPr>
            <w:tcW w:w="4187" w:type="dxa"/>
            <w:tcBorders>
              <w:bottom w:val="single" w:sz="4" w:space="0" w:color="000000"/>
            </w:tcBorders>
          </w:tcPr>
          <w:p>
            <w:pPr>
              <w:pStyle w:val="Normal"/>
              <w:widowControl w:val="false"/>
              <w:tabs>
                <w:tab w:val="clear" w:pos="709"/>
              </w:tabs>
              <w:bidi w:val="0"/>
              <w:ind w:start="0" w:hanging="0"/>
              <w:jc w:val="start"/>
              <w:rPr/>
            </w:pPr>
            <w:r>
              <w:rPr>
                <w:rFonts w:ascii="Arial" w:hAnsi="Arial"/>
                <w:b w:val="false"/>
                <w:i w:val="false"/>
                <w:strike w:val="false"/>
                <w:dstrike w:val="false"/>
                <w:sz w:val="20"/>
                <w:u w:val="none"/>
              </w:rPr>
              <w:t>Сведения о документе, подтверждающем полномочия представителя заявителя</w:t>
            </w:r>
          </w:p>
        </w:tc>
        <w:tc>
          <w:tcPr>
            <w:tcW w:w="4700" w:type="dxa"/>
            <w:tcBorders>
              <w:bottom w:val="single" w:sz="4" w:space="0" w:color="000000"/>
            </w:tcBorders>
          </w:tcPr>
          <w:p>
            <w:pPr>
              <w:pStyle w:val="Normal"/>
              <w:widowControl w:val="false"/>
              <w:tabs>
                <w:tab w:val="clear" w:pos="709"/>
              </w:tabs>
              <w:bidi w:val="0"/>
              <w:ind w:start="0" w:hanging="0"/>
              <w:jc w:val="start"/>
              <w:rPr>
                <w:b/>
                <w:bCs/>
              </w:rPr>
            </w:pPr>
            <w:r>
              <w:rPr>
                <w:rFonts w:ascii="Arial" w:hAnsi="Arial"/>
                <w:b/>
                <w:bCs/>
                <w:i w:val="false"/>
                <w:strike w:val="false"/>
                <w:dstrike w:val="false"/>
                <w:sz w:val="20"/>
                <w:u w:val="none"/>
              </w:rPr>
              <w:t>заявитель посредством представления подтверждающих документов</w:t>
            </w:r>
          </w:p>
        </w:tc>
      </w:tr>
    </w:tbl>
    <w:p>
      <w:pPr>
        <w:pStyle w:val="Normal"/>
        <w:widowControl w:val="false"/>
        <w:bidi w:val="0"/>
        <w:jc w:val="start"/>
        <w:rPr>
          <w:rFonts w:ascii="Arial" w:hAnsi="Arial"/>
          <w:b w:val="false"/>
          <w:i w:val="false"/>
          <w:i w:val="false"/>
          <w:strike w:val="false"/>
          <w:dstrike w:val="false"/>
          <w:sz w:val="20"/>
          <w:u w:val="none"/>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roman"/>
    <w:pitch w:val="variable"/>
  </w:font>
  <w:font w:name="Arial">
    <w:charset w:val="cc" w:characterSet="windows-1251"/>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Mangal"/>
      <w:color w:val="auto"/>
      <w:kern w:val="2"/>
      <w:sz w:val="24"/>
      <w:szCs w:val="24"/>
      <w:lang w:val="ru-RU" w:eastAsia="zh-CN" w:bidi="hi-IN"/>
    </w:rPr>
  </w:style>
  <w:style w:type="character" w:styleId="-">
    <w:name w:val="Hyperlink"/>
    <w:rPr>
      <w:color w:val="000080"/>
      <w:u w:val="single"/>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79460&amp;dst=100020" TargetMode="External"/><Relationship Id="rId3" Type="http://schemas.openxmlformats.org/officeDocument/2006/relationships/hyperlink" Target="https://login.consultant.ru/link/?req=doc&amp;base=LAW&amp;n=479460&amp;dst=100026" TargetMode="External"/><Relationship Id="rId4" Type="http://schemas.openxmlformats.org/officeDocument/2006/relationships/hyperlink" Target="https://login.consultant.ru/link/?req=doc&amp;base=LAW&amp;n=466787&amp;dst=100239" TargetMode="External"/><Relationship Id="rId5" Type="http://schemas.openxmlformats.org/officeDocument/2006/relationships/hyperlink" Target="https://login.consultant.ru/link/?req=doc&amp;base=LAW&amp;n=466787&amp;dst=100462" TargetMode="Externa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LibreOffice/7.5.3.2$Windows_X86_64 LibreOffice_project/9f56dff12ba03b9acd7730a5a481eea045e468f3</Application>
  <AppVersion>15.0000</AppVersion>
  <Pages>8</Pages>
  <Words>1985</Words>
  <Characters>16529</Characters>
  <CharactersWithSpaces>18360</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2024-09-23T11:29:57Z</dcterms:created>
  <dc:creator/>
  <dc:description/>
  <dc:language>ru-RU</dc:language>
  <cp:lastModifiedBy/>
  <dcterms:modified xsi:type="dcterms:W3CDTF">2024-09-23T13:45:54Z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