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Наименование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eastAsia="Tahoma" w:cs="Tahoma"/>
                <w:b/>
                <w:b/>
                <w:bCs/>
                <w:color w:val="000000"/>
                <w:sz w:val="22"/>
                <w:szCs w:val="22"/>
                <w:shd w:fill="auto" w:val="clear"/>
                <w:lang w:bidi="ru-RU"/>
              </w:rPr>
            </w:pPr>
            <w:r>
              <w:rPr>
                <w:rFonts w:eastAsia="Tahoma" w:cs="Tahoma" w:ascii="Arial" w:hAnsi="Arial"/>
                <w:b/>
                <w:bCs/>
                <w:color w:val="000000"/>
                <w:sz w:val="22"/>
                <w:szCs w:val="22"/>
                <w:shd w:fill="auto" w:val="clear"/>
                <w:lang w:bidi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</w:tr>
      <w:tr>
        <w:trPr/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Ответственный орган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Tahoma" w:cs="Tahoma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ru-RU" w:bidi="ru-RU"/>
              </w:rPr>
              <w:t>Администрацией Мишкинского муниципального округа Курганской области.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Tahoma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color w:val="000000"/>
                <w:sz w:val="22"/>
                <w:szCs w:val="22"/>
                <w:shd w:fill="auto" w:val="clear"/>
                <w:lang w:bidi="ru-RU"/>
              </w:rPr>
              <w:t>Физические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FontStyle20"/>
                <w:rFonts w:eastAsia="Tahoma" w:cs="Tahoma" w:ascii="Arial" w:hAnsi="Arial"/>
                <w:b w:val="false"/>
                <w:b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ru-RU" w:bidi="ru-RU"/>
              </w:rPr>
              <w:t>Отделом строительства, транспорта, связи и ЖКХ Администрации Мишкинского муниципального округа Курганской области.</w:t>
            </w:r>
          </w:p>
        </w:tc>
      </w:tr>
      <w:tr>
        <w:trPr>
          <w:trHeight w:val="494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 w:cs="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eastAsia="Calibri" w:cs="" w:ascii="Arial" w:hAnsi="Arial" w:cstheme="minorBidi" w:eastAsiaTheme="minorHAnsi"/>
                <w:b/>
                <w:bCs/>
                <w:color w:val="000000"/>
                <w:sz w:val="22"/>
                <w:szCs w:val="22"/>
                <w:shd w:fill="auto" w:val="clear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Autospacing="1" w:after="0"/>
              <w:ind w:hanging="0"/>
              <w:jc w:val="both"/>
              <w:rPr>
                <w:rFonts w:ascii="Arial" w:hAnsi="Arial" w:cs="Tahoma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iCs/>
                <w:color w:val="000000"/>
                <w:spacing w:val="-1"/>
                <w:sz w:val="22"/>
                <w:szCs w:val="22"/>
                <w:shd w:fill="auto" w:val="clear"/>
                <w:lang w:eastAsia="ar-SA" w:bidi="ru-RU"/>
              </w:rPr>
              <w:t xml:space="preserve">физические </w:t>
            </w:r>
            <w:r>
              <w:rPr>
                <w:rFonts w:cs="Tahoma" w:ascii="Arial" w:hAnsi="Arial"/>
                <w:color w:val="000000"/>
                <w:sz w:val="22"/>
                <w:szCs w:val="22"/>
                <w:shd w:fill="auto" w:val="clear"/>
              </w:rPr>
              <w:t>лица, получившие государственный сертификат на материнский (семейный) капитал</w:t>
            </w:r>
            <w:r>
              <w:rPr>
                <w:rFonts w:eastAsia="Tahoma" w:cs="Tahoma" w:ascii="Arial" w:hAnsi="Arial"/>
                <w:iCs/>
                <w:color w:val="000000"/>
                <w:spacing w:val="-1"/>
                <w:sz w:val="22"/>
                <w:szCs w:val="22"/>
                <w:shd w:fill="auto" w:val="clear"/>
                <w:lang w:eastAsia="ar-SA" w:bidi="ru-RU"/>
              </w:rPr>
              <w:t>.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Обязательные документы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 xml:space="preserve">1.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Заявление;</w:t>
            </w:r>
          </w:p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ahoma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>2. Документ, удостоверяющий личность;</w:t>
            </w:r>
          </w:p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ahoma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>3. Документ, подтверждающий полномочия Представителя;</w:t>
            </w:r>
          </w:p>
          <w:p>
            <w:pPr>
              <w:pStyle w:val="S1"/>
              <w:widowControl w:val="false"/>
              <w:tabs>
                <w:tab w:val="clear" w:pos="708"/>
                <w:tab w:val="left" w:pos="870" w:leader="none"/>
              </w:tabs>
              <w:bidi w:val="0"/>
              <w:spacing w:lineRule="auto" w:line="240" w:before="0" w:after="0"/>
              <w:ind w:left="0" w:right="0" w:hanging="0"/>
              <w:jc w:val="left"/>
              <w:rPr>
                <w:rFonts w:ascii="Arial" w:hAnsi="Arial" w:eastAsia="Tahoma" w:cs="Tahoma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</w:pPr>
            <w:r>
              <w:rPr>
                <w:rFonts w:eastAsia="Tahoma" w:cs="Tahoma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val="ru-RU" w:bidi="ru-RU"/>
              </w:rPr>
              <w:t>4. Копии правоустанавливающих документов, если право не зарегистрировано в Едином государственном реестре недвижимости.</w:t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1"/>
              <w:widowControl w:val="false"/>
              <w:suppressAutoHyphens w:val="false"/>
              <w:spacing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ahoma" w:cs="Tahoma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1. Выписка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>из Единого государственного реестра недвижимости.</w:t>
            </w:r>
          </w:p>
          <w:p>
            <w:pPr>
              <w:pStyle w:val="S1"/>
              <w:widowControl w:val="false"/>
              <w:shd w:fill="FFFFFF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2.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      </w:r>
          </w:p>
          <w:p>
            <w:pPr>
              <w:pStyle w:val="S1"/>
              <w:widowControl w:val="false"/>
              <w:shd w:fill="FFFFFF"/>
              <w:bidi w:val="0"/>
              <w:spacing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3. Сведения о выданных сертификатах на материнский (семейный) капитал.</w:t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 xml:space="preserve">1. </w:t>
            </w:r>
            <w:r>
              <w:rPr>
                <w:rStyle w:val="5"/>
                <w:rFonts w:eastAsia="Tahoma" w:cs="Tahoma" w:ascii="Arial" w:hAnsi="Arial"/>
                <w:color w:val="000000"/>
                <w:spacing w:val="-1"/>
                <w:kern w:val="0"/>
                <w:sz w:val="22"/>
                <w:szCs w:val="22"/>
                <w:shd w:fill="auto" w:val="clear"/>
                <w:lang w:val="ru-RU" w:eastAsia="ru-RU" w:bidi="ru-RU"/>
              </w:rPr>
              <w:t xml:space="preserve">Акт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освидетельствования проведения основных работ по строительству (реконструкции) объекта ИЖС;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rPr/>
            </w:pP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 xml:space="preserve">2. Решение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об отказе в предоставлении Муниципальной услуги в форме документа на бумажном носителе</w:t>
            </w:r>
            <w:r>
              <w:rPr>
                <w:rStyle w:val="5"/>
                <w:rFonts w:eastAsia="Tahoma" w:cs="Tahoma" w:ascii="Arial" w:hAnsi="Arial"/>
                <w:color w:val="000000"/>
                <w:spacing w:val="-1"/>
                <w:sz w:val="22"/>
                <w:szCs w:val="22"/>
                <w:shd w:fill="auto" w:val="clear"/>
                <w:lang w:eastAsia="ru-RU" w:bidi="ru-RU"/>
              </w:rPr>
              <w:t>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/>
              <w:jc w:val="left"/>
              <w:rPr>
                <w:rFonts w:ascii="Arial" w:hAnsi="Arial" w:eastAsia="Times New Roman" w:cs="Arial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2"/>
                <w:szCs w:val="22"/>
                <w:shd w:fill="auto" w:val="clear"/>
                <w:lang w:val="ru-RU" w:eastAsia="ru-RU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S1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 xml:space="preserve">1. 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2. представление неполного комплекта документов;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3. 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4. подача заявления (запроса) от имени Заявителя не уполномоченным на то лицом;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5. 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6. неполное, некорректное заполнение полей в форме заявления;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7. электронные документы не соответствуют требованиям к форматам их предоставления и (или) не читаются;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 xml:space="preserve">8. несоблюдение установленных статьей </w:t>
            </w:r>
            <w:r>
              <w:fldChar w:fldCharType="begin"/>
            </w:r>
            <w:r>
              <w:rPr>
                <w:sz w:val="22"/>
                <w:shd w:fill="auto" w:val="clear"/>
                <w:szCs w:val="22"/>
                <w:rFonts w:ascii="Arial" w:hAnsi="Arial"/>
                <w:color w:val="000000"/>
                <w:lang w:val="ru-RU" w:eastAsia="ru-RU" w:bidi="ar-SA"/>
              </w:rPr>
              <w:instrText> HYPERLINK "https://internet.garant.ru/" \l "/document/12184522/entry/0"</w:instrText>
            </w:r>
            <w:r>
              <w:rPr>
                <w:sz w:val="22"/>
                <w:shd w:fill="auto" w:val="clear"/>
                <w:szCs w:val="22"/>
                <w:rFonts w:ascii="Arial" w:hAnsi="Arial"/>
                <w:color w:val="000000"/>
                <w:lang w:val="ru-RU" w:eastAsia="ru-RU" w:bidi="ar-SA"/>
              </w:rPr>
              <w:fldChar w:fldCharType="separate"/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  <w:lang w:val="ru-RU" w:eastAsia="ru-RU" w:bidi="ar-SA"/>
              </w:rPr>
              <w:t>Федерального закона</w:t>
            </w:r>
            <w:r>
              <w:rPr>
                <w:sz w:val="22"/>
                <w:shd w:fill="auto" w:val="clear"/>
                <w:szCs w:val="22"/>
                <w:rFonts w:ascii="Arial" w:hAnsi="Arial"/>
                <w:color w:val="000000"/>
                <w:lang w:val="ru-RU" w:eastAsia="ru-RU" w:bidi="ar-SA"/>
              </w:rPr>
              <w:fldChar w:fldCharType="end"/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 xml:space="preserve"> № 63-ФЗ условий признания действительности, усиленной квалифицированной электронной подписи;</w:t>
            </w:r>
          </w:p>
          <w:p>
            <w:pPr>
              <w:pStyle w:val="S1"/>
              <w:widowControl w:val="false"/>
              <w:shd w:fill="FFFFFF"/>
              <w:bidi w:val="0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9. Заявитель не относится к кругу лиц, имеющих право на предоставление Муниципальной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auto" w:val="clear"/>
                <w:lang w:eastAsia="ru-RU"/>
              </w:rPr>
              <w:t>Отсутствуют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contextualSpacing/>
              <w:jc w:val="both"/>
              <w:rPr/>
            </w:pPr>
            <w:bookmarkStart w:id="0" w:name="__DdeLink__38128_2889315848"/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Постановление</w:t>
            </w:r>
            <w:bookmarkEnd w:id="0"/>
            <w:r>
              <w:rPr>
                <w:rStyle w:val="FontStyle20"/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 xml:space="preserve"> </w:t>
            </w:r>
            <w:r>
              <w:rPr>
                <w:rStyle w:val="FontStyle20"/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bidi="ru-RU"/>
              </w:rPr>
              <w:t xml:space="preserve">Администрации Мишкинского муниципального округа Курганской области </w:t>
            </w:r>
            <w:r>
              <w:rPr>
                <w:rFonts w:eastAsia="Tahoma" w:cs="Arial" w:ascii="Arial" w:hAnsi="Arial"/>
                <w:b w:val="false"/>
                <w:bCs w:val="false"/>
                <w:color w:val="000000"/>
                <w:sz w:val="22"/>
                <w:szCs w:val="22"/>
                <w:u w:val="none"/>
                <w:shd w:fill="auto" w:val="clear"/>
                <w:lang w:bidi="ru-RU"/>
              </w:rPr>
              <w:t xml:space="preserve">от «22» июня 2023 года № 113 </w:t>
            </w:r>
            <w:r>
              <w:rPr>
                <w:rStyle w:val="FontStyle20"/>
                <w:rFonts w:eastAsia="Tahoma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2"/>
                <w:szCs w:val="22"/>
                <w:u w:val="none"/>
                <w:shd w:fill="auto" w:val="clear"/>
                <w:lang w:bidi="ru-RU"/>
              </w:rPr>
              <w:t xml:space="preserve">«Об </w:t>
            </w:r>
            <w:r>
              <w:rPr>
                <w:rFonts w:cs="Arial" w:ascii="Arial" w:hAnsi="Arial"/>
                <w:color w:val="000000"/>
                <w:sz w:val="22"/>
                <w:szCs w:val="22"/>
                <w:shd w:fill="auto" w:val="clear"/>
              </w:rPr>
              <w:t xml:space="preserve">утверждении Административного регламента предоставления Администрацией Мишкинского муниципального округа Курганской области муниципальной услуги 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«</w:t>
            </w:r>
            <w:r>
              <w:rPr>
                <w:rFonts w:ascii="Arial" w:hAnsi="Arial"/>
                <w:color w:val="000000"/>
                <w:sz w:val="22"/>
                <w:szCs w:val="22"/>
                <w:shd w:fill="auto" w:val="clear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  <w:r>
              <w:rPr>
                <w:rFonts w:ascii="Arial" w:hAnsi="Arial"/>
                <w:bCs/>
                <w:color w:val="000000"/>
                <w:sz w:val="22"/>
                <w:szCs w:val="22"/>
                <w:shd w:fill="auto" w:val="clear"/>
              </w:rPr>
              <w:t>»</w:t>
            </w:r>
            <w:r>
              <w:rPr>
                <w:rFonts w:cs="Arial" w:ascii="Arial" w:hAnsi="Arial"/>
                <w:color w:val="000000"/>
                <w:spacing w:val="-1"/>
                <w:sz w:val="22"/>
                <w:szCs w:val="22"/>
                <w:shd w:fill="auto" w:val="clear"/>
              </w:rPr>
              <w:t>»</w:t>
            </w:r>
          </w:p>
        </w:tc>
      </w:tr>
      <w:tr>
        <w:trPr>
          <w:trHeight w:val="1201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contextualSpacing/>
              <w:rPr>
                <w:rFonts w:ascii="Arial" w:hAnsi="Arial"/>
                <w:b/>
                <w:b/>
                <w:bCs/>
                <w:color w:val="auto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  <w:shd w:fill="auto" w:val="clear"/>
              </w:rPr>
              <w:t>Контактные данные органа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Г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2"/>
                <w:szCs w:val="22"/>
                <w:shd w:fill="auto" w:val="clear"/>
              </w:rPr>
              <w:t xml:space="preserve">лава 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Мишкинского муниципального округа Мамонтов Денис Владимирович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 xml:space="preserve">Администрация Мишкинского района находится по адресу: </w:t>
            </w:r>
            <w:r>
              <w:rPr>
                <w:rFonts w:cs="Liberation Sans;Arial" w:ascii="Arial" w:hAnsi="Arial"/>
                <w:sz w:val="22"/>
                <w:szCs w:val="22"/>
                <w:shd w:fill="auto" w:val="clear"/>
              </w:rPr>
              <w:t>641040</w:t>
            </w:r>
            <w:r>
              <w:rPr>
                <w:rFonts w:cs="Arial" w:ascii="Arial" w:hAnsi="Arial"/>
                <w:sz w:val="22"/>
                <w:szCs w:val="22"/>
                <w:shd w:fill="auto" w:val="clear"/>
              </w:rPr>
              <w:t>, улица Ленина, дом 30, р.п. Мишкино, Мишкинского района, Курганской области.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 xml:space="preserve">Тел. </w:t>
            </w:r>
            <w:r>
              <w:rPr>
                <w:rStyle w:val="S5"/>
                <w:rFonts w:cs="Arial" w:ascii="Arial" w:hAnsi="Arial"/>
                <w:i w:val="false"/>
                <w:iCs w:val="false"/>
                <w:sz w:val="22"/>
                <w:szCs w:val="22"/>
                <w:shd w:fill="auto" w:val="clear"/>
              </w:rPr>
              <w:t>8(35247)32346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График работы Администрации Мишкинского района: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- ежедневно с 8 до 17 часов (кроме выходных и праздничных дней),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- в предпраздничные дни – с 8 до 16 часов,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Style15"/>
                <w:rFonts w:ascii="Arial" w:hAnsi="Arial"/>
                <w:sz w:val="22"/>
                <w:szCs w:val="22"/>
                <w:shd w:fill="auto" w:val="clear"/>
              </w:rPr>
              <w:t>- перерыв с 12 до 13 часов.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character" w:styleId="FontStyle20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>
    <w:name w:val="Основной шрифт абзаца5"/>
    <w:qFormat/>
    <w:rPr/>
  </w:style>
  <w:style w:type="character" w:styleId="S5">
    <w:name w:val="s5"/>
    <w:basedOn w:val="DefaultParagraphFont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paragraph" w:styleId="Style110">
    <w:name w:val="Style1"/>
    <w:basedOn w:val="Normal"/>
    <w:qFormat/>
    <w:pPr/>
    <w:rPr/>
  </w:style>
  <w:style w:type="paragraph" w:styleId="Style131">
    <w:name w:val="Style13"/>
    <w:basedOn w:val="Normal"/>
    <w:qFormat/>
    <w:pPr>
      <w:spacing w:lineRule="exact" w:line="166"/>
      <w:jc w:val="right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Liberation Sans" w:cs="Times New Roman"/>
      <w:color w:val="auto"/>
      <w:kern w:val="0"/>
      <w:sz w:val="20"/>
      <w:szCs w:val="20"/>
      <w:lang w:val="ru-RU" w:eastAsia="ru-RU" w:bidi="ar-SA"/>
    </w:rPr>
  </w:style>
  <w:style w:type="paragraph" w:styleId="S1">
    <w:name w:val="s_1"/>
    <w:basedOn w:val="Normal"/>
    <w:qFormat/>
    <w:pPr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LibreOffice/7.0.4.2$Windows_X86_64 LibreOffice_project/dcf040e67528d9187c66b2379df5ea4407429775</Application>
  <AppVersion>15.0000</AppVersion>
  <Pages>2</Pages>
  <Words>444</Words>
  <Characters>3501</Characters>
  <CharactersWithSpaces>3900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2024-03-13T16:07:17Z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