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45"/>
        <w:gridCol w:w="12817"/>
      </w:tblGrid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Наименование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282" w:hanging="0"/>
              <w:jc w:val="both"/>
              <w:rPr/>
            </w:pPr>
            <w:r>
              <w:rPr>
                <w:rStyle w:val="73"/>
                <w:rFonts w:eastAsia="PT Astra Sans" w:cs="PT Astra Sans" w:ascii="Arial" w:hAnsi="Arial"/>
                <w:b/>
                <w:bCs/>
                <w:i w:val="false"/>
                <w:iCs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val="ru-RU" w:eastAsia="ar-SA"/>
              </w:rPr>
              <w:t xml:space="preserve">Направление </w:t>
            </w: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>
        <w:trPr>
          <w:trHeight w:val="836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Ответственный орган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76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PT Astra Sans" w:cs="PT Astra Sans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Администрация Мишкинского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Получатели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446" w:leader="none"/>
              </w:tabs>
              <w:bidi w:val="0"/>
              <w:spacing w:lineRule="auto" w:line="240" w:before="0" w:after="0"/>
              <w:ind w:left="0" w:right="282" w:hanging="0"/>
              <w:jc w:val="both"/>
              <w:rPr>
                <w:rFonts w:ascii="Arial" w:hAnsi="Arial" w:eastAsia="PT Astra Sans" w:cs="PT Astra Sans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Заявителями на получение государственной услуги являются физические лица, юридические лица, индивидуальные предприниматели, являющиеся застройщиками </w:t>
            </w:r>
          </w:p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0" w:leader="none"/>
              </w:tabs>
              <w:bidi w:val="0"/>
              <w:spacing w:lineRule="auto" w:line="240" w:before="0" w:after="0"/>
              <w:ind w:left="0" w:right="282" w:hanging="0"/>
              <w:jc w:val="both"/>
              <w:rPr>
                <w:rFonts w:ascii="Arial" w:hAnsi="Arial" w:eastAsia="PT Astra Sans" w:cs="PT Astra Sans"/>
                <w:sz w:val="22"/>
                <w:szCs w:val="22"/>
                <w:shd w:fill="auto" w:val="clear"/>
              </w:rPr>
            </w:pPr>
            <w:r>
              <w:rPr>
                <w:rFonts w:eastAsia="PT Astra Sans" w:cs="PT Astra Sans" w:ascii="Arial" w:hAnsi="Arial"/>
                <w:sz w:val="22"/>
                <w:szCs w:val="22"/>
                <w:shd w:fill="auto" w:val="clear"/>
              </w:rPr>
      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>
          <w:trHeight w:val="774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Услуга предоставляется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fill="FFFFFF"/>
              <w:tabs>
                <w:tab w:val="clear" w:pos="708"/>
                <w:tab w:val="left" w:pos="1076" w:leader="none"/>
              </w:tabs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Style15"/>
                <w:rFonts w:eastAsia="PT Astra Sans" w:cs="PT Astra Sans" w:ascii="Arial" w:hAnsi="Arial"/>
                <w:b w:val="false"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Отделом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строительства, транспорта, связи и ЖКХ </w:t>
            </w:r>
            <w:r>
              <w:rPr>
                <w:rFonts w:ascii="Arial" w:hAnsi="Arial"/>
                <w:bCs/>
                <w:iCs/>
                <w:color w:val="000000"/>
                <w:sz w:val="22"/>
                <w:szCs w:val="22"/>
                <w:shd w:fill="auto" w:val="clear"/>
              </w:rPr>
              <w:t>Администрации Мишкинского муниципального округа Курганской области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Заявители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fill="FFFFFF"/>
              <w:tabs>
                <w:tab w:val="clear" w:pos="708"/>
                <w:tab w:val="left" w:pos="0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PT Astra Sans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физические </w:t>
            </w:r>
            <w:r>
              <w:rPr>
                <w:rFonts w:cs="Arial" w:ascii="Arial" w:hAnsi="Arial"/>
                <w:color w:val="000000"/>
                <w:sz w:val="22"/>
                <w:szCs w:val="22"/>
                <w:shd w:fill="auto" w:val="clear"/>
              </w:rPr>
              <w:t>лица, юридические лица, индивидуальные предприниматели, являющиеся застройщиками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fill="FFFFFF"/>
              <w:tabs>
                <w:tab w:val="clear" w:pos="708"/>
                <w:tab w:val="left" w:pos="1095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>1</w:t>
            </w: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) </w:t>
            </w: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уведомление о сносе;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2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) документ, удостоверяющий личность Заявителя или Представителя заявителя;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3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) документ, подтверждающий полномочия Представителя заявителя действовать от имени Заявителя 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4)</w:t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 xml:space="preserve">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5)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6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) результаты и материалы обследования объекта капитального строительства (в случае направления уведомления о сносе);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7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) проект организации работ по сносу объекта капитального строительства (в случае направления уведомления о сносе);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bCs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1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) </w:t>
            </w: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уведомление о завершении сноса.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Необязательные документы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fill="FFFFFF"/>
              <w:tabs>
                <w:tab w:val="clear" w:pos="708"/>
                <w:tab w:val="left" w:pos="1363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cs="PT Astra Sans"/>
                <w:color w:val="000000"/>
                <w:sz w:val="22"/>
                <w:szCs w:val="22"/>
              </w:rPr>
            </w:pP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>1</w:t>
            </w:r>
            <w:r>
              <w:rPr>
                <w:rFonts w:eastAsia="PT Astra Sans"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) </w:t>
            </w:r>
            <w:r>
              <w:rPr>
                <w:rFonts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>сведения из Е</w:t>
            </w:r>
            <w:r>
              <w:rPr>
                <w:rFonts w:eastAsia="Calibri" w:cs="PT Astra Sans" w:ascii="Arial" w:hAnsi="Arial"/>
                <w:b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 xml:space="preserve">ГРЮЛ </w:t>
            </w:r>
            <w:r>
              <w:rPr>
                <w:rFonts w:cs="PT Astra Sans"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или из </w:t>
            </w:r>
            <w:r>
              <w:rPr>
                <w:rFonts w:eastAsia="Calibri" w:cs="PT Astra Sans" w:ascii="Arial" w:hAnsi="Arial"/>
                <w:b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ЕГРИП;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2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) сведения из Е</w:t>
            </w:r>
            <w:r>
              <w:rPr>
                <w:rFonts w:eastAsia="Calibri" w:cs="" w:ascii="Arial" w:hAnsi="Arial"/>
                <w:b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ГРН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 (в случае направления уведомлений по объектам недвижимости, права на которые зарегистрированы в Едином государственном реестре недвижимости);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3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) решение суда о сносе объекта капитального строительства;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4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) решение органа местного самоуправления о сносе объекта капитального строительства.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bCs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Результат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В 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случае обращения за услугой «Направление уведомления о </w:t>
            </w: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планируемом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 сносе объекта капитального строительства: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1) извещение о приеме уведомления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о планируемом сносе объекта капитального строительства;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2) отказ в предоставлении Муниципальной услуги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В случае обращения за услугой «Направление уведомления о </w:t>
            </w: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завершении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 сноса объекта капитального строительства»: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1) извещение о приеме уведомления о завершении сноса объекта капитального строительства;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2) отказ в предоставлении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Муниципальной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 услуги;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Срок предоставления услуги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0" w:before="0" w:after="200"/>
              <w:jc w:val="both"/>
              <w:rPr>
                <w:rFonts w:ascii="Arial" w:hAnsi="Arial" w:cs="Arial;sans-serif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/>
              </w:rPr>
            </w:pPr>
            <w:r>
              <w:rPr>
                <w:rFonts w:cs="Arial;sans-serif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val="ru-RU"/>
              </w:rPr>
              <w:t>7 рабочих дней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8"/>
              <w:widowControl w:val="false"/>
              <w:shd w:fill="FFFFFF"/>
              <w:tabs>
                <w:tab w:val="clear" w:pos="708"/>
                <w:tab w:val="left" w:pos="1022" w:leader="none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а) 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д) уведомление о сносе, уведомление о завершении сноса и документы, указанные в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пункте 2.8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 настоящего Административного регламента, представлены в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электронной форме с нарушением требований, установленных пунктами 2.5 – 2.7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 xml:space="preserve"> настоящего Административного регламента;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е) выявлено несоблюдение установленных статьей 11 Федерального закона от 6 апреля 2011 года №63-ФЗ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ж) неполное заполнение полей в форме уведомления, в том числе в интерактивной форме уведомления на ЕПГУ;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з) представление неполного комплекта документов, необходимых для предоставления Муниципальной услуги.</w:t>
            </w:r>
          </w:p>
        </w:tc>
      </w:tr>
      <w:tr>
        <w:trPr>
          <w:trHeight w:val="523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Стоимость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Муниципальная услуга оказывается бесплатно</w:t>
            </w:r>
          </w:p>
        </w:tc>
      </w:tr>
      <w:tr>
        <w:trPr>
          <w:trHeight w:val="1090" w:hRule="atLeast"/>
        </w:trPr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Нет</w:t>
            </w:r>
          </w:p>
        </w:tc>
      </w:tr>
      <w:tr>
        <w:trPr/>
        <w:tc>
          <w:tcPr>
            <w:tcW w:w="2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2"/>
                <w:szCs w:val="22"/>
                <w:shd w:fill="auto" w:val="clear"/>
                <w:lang w:eastAsia="ru-RU"/>
              </w:rPr>
              <w:t>Административный регламент</w:t>
            </w:r>
          </w:p>
        </w:tc>
        <w:tc>
          <w:tcPr>
            <w:tcW w:w="1281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Calibri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zh-CN"/>
              </w:rPr>
              <w:t xml:space="preserve">Постановление </w:t>
            </w:r>
            <w:r>
              <w:rPr>
                <w:rStyle w:val="73"/>
                <w:rFonts w:eastAsia="PT Astra Sans" w:cs="Arial" w:ascii="Arial" w:hAnsi="Arial"/>
                <w:b w:val="false"/>
                <w:bCs w:val="false"/>
                <w:color w:val="000000"/>
                <w:spacing w:val="1"/>
                <w:sz w:val="22"/>
                <w:szCs w:val="22"/>
                <w:shd w:fill="auto" w:val="clear"/>
                <w:lang w:eastAsia="zh-CN"/>
              </w:rPr>
              <w:t xml:space="preserve">Администрации </w:t>
            </w:r>
            <w:r>
              <w:rPr>
                <w:rFonts w:cs="Arial" w:ascii="Arial" w:hAnsi="Arial"/>
                <w:color w:val="000000"/>
                <w:sz w:val="22"/>
                <w:szCs w:val="22"/>
                <w:shd w:fill="auto" w:val="clear"/>
              </w:rPr>
              <w:t xml:space="preserve">Мишкинского муниципального округа Курганской области от </w:t>
            </w:r>
            <w:r>
              <w:rPr>
                <w:rFonts w:cs="Arial" w:ascii="Arial" w:hAnsi="Arial"/>
                <w:color w:val="000000"/>
                <w:sz w:val="22"/>
                <w:szCs w:val="22"/>
                <w:u w:val="none"/>
                <w:shd w:fill="auto" w:val="clear"/>
              </w:rPr>
              <w:t xml:space="preserve">26 апреля 2023 года №_86 </w:t>
            </w:r>
            <w:r>
              <w:rPr>
                <w:rFonts w:cs="Arial" w:ascii="Arial" w:hAnsi="Arial"/>
                <w:color w:val="000000"/>
                <w:sz w:val="22"/>
                <w:szCs w:val="22"/>
                <w:shd w:fill="auto" w:val="clear"/>
              </w:rPr>
              <w:t xml:space="preserve">«Об утверждении Административного регламента предоставления Администрацией Мишкинского муниципального округа Курганской области муниципальной услуги </w:t>
            </w:r>
            <w:r>
              <w:rPr>
                <w:rFonts w:ascii="Arial" w:hAnsi="Arial"/>
                <w:bCs/>
                <w:sz w:val="22"/>
                <w:szCs w:val="22"/>
                <w:shd w:fill="auto" w:val="clear"/>
              </w:rPr>
      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на территории </w:t>
            </w:r>
            <w:r>
              <w:rPr>
                <w:rFonts w:cs="Arial" w:ascii="Arial" w:hAnsi="Arial"/>
                <w:color w:val="000000"/>
                <w:spacing w:val="-1"/>
                <w:sz w:val="22"/>
                <w:szCs w:val="22"/>
                <w:shd w:fill="auto" w:val="clear"/>
              </w:rPr>
              <w:t>Мишкинского муниципального округа Курганской области»</w:t>
            </w:r>
          </w:p>
        </w:tc>
      </w:tr>
      <w:tr>
        <w:trPr/>
        <w:tc>
          <w:tcPr>
            <w:tcW w:w="2545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  <w:t>Контактные данные органа</w:t>
            </w:r>
          </w:p>
        </w:tc>
        <w:tc>
          <w:tcPr>
            <w:tcW w:w="1281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Г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  <w:t xml:space="preserve">лава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Мишкинского муниципального округа Мамонтов Денис Владимирович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 xml:space="preserve">Администрация Мишкинского района находится по адресу: </w:t>
            </w:r>
            <w:r>
              <w:rPr>
                <w:rFonts w:cs="Liberation Sans;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>641040</w:t>
            </w: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>, улица Ленина, дом 30, р.п. Мишкино, Мишкинского района, Курганской области.</w:t>
            </w:r>
          </w:p>
          <w:p>
            <w:pPr>
              <w:pStyle w:val="ConsPlusNormal1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 xml:space="preserve">Тел. </w:t>
            </w:r>
            <w:r>
              <w:rPr>
                <w:rStyle w:val="S5"/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>8(35247)32346</w:t>
            </w:r>
          </w:p>
          <w:p>
            <w:pPr>
              <w:pStyle w:val="Msonormalcxspmiddle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Arial"/>
                <w:i w:val="false"/>
                <w:i w:val="false"/>
                <w:iCs w:val="false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>График работы Администрации Мишкинского района: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Arial"/>
                <w:i w:val="false"/>
                <w:i w:val="false"/>
                <w:iCs w:val="false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>- ежедневно с 8 до 17 часов (кроме выходных и праздничных дней),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cs="Arial"/>
                <w:i w:val="false"/>
                <w:i w:val="false"/>
                <w:iCs w:val="false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>- в предпраздничные дни – с 8 до 16 часов,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Style w:val="Style16"/>
                <w:rFonts w:cs="Liberation Sans" w:ascii="Arial" w:hAnsi="Arial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- перерыв с 12 до 13 часов.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73">
    <w:name w:val="Основной текст (7)3"/>
    <w:qFormat/>
    <w:rPr/>
  </w:style>
  <w:style w:type="character" w:styleId="Style15">
    <w:name w:val="Основной текст + Курсив"/>
    <w:qFormat/>
    <w:rPr>
      <w:b/>
      <w:i/>
    </w:rPr>
  </w:style>
  <w:style w:type="character" w:styleId="S5">
    <w:name w:val="s5"/>
    <w:basedOn w:val="DefaultParagraphFont"/>
    <w:qFormat/>
    <w:rPr/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Arial Unicode MS" w:hAnsi="Arial Unicode MS" w:eastAsia="Arial Unicode MS" w:cs="Liberation Serif"/>
      <w:color w:val="000000"/>
      <w:kern w:val="2"/>
      <w:sz w:val="24"/>
      <w:szCs w:val="24"/>
      <w:lang w:val="ru-RU" w:eastAsia="ar-SA" w:bidi="ar-SA"/>
    </w:rPr>
  </w:style>
  <w:style w:type="paragraph" w:styleId="Msonormalcxspmiddle">
    <w:name w:val="msonormalcxspmiddle"/>
    <w:basedOn w:val="Normal"/>
    <w:qFormat/>
    <w:pPr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Application>LibreOffice/7.0.4.2$Windows_X86_64 LibreOffice_project/dcf040e67528d9187c66b2379df5ea4407429775</Application>
  <AppVersion>15.0000</AppVersion>
  <Pages>3</Pages>
  <Words>621</Words>
  <Characters>4712</Characters>
  <CharactersWithSpaces>5281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2018-11-16T04:57:00Z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2024-04-05T15:38:03Z</dcterms:modified>
  <cp:revision>167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