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545"/>
        <w:gridCol w:w="12817"/>
      </w:tblGrid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Наименование услуги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282" w:hanging="0"/>
              <w:jc w:val="both"/>
              <w:rPr/>
            </w:pPr>
            <w:r>
              <w:rPr>
                <w:rStyle w:val="73"/>
                <w:rFonts w:eastAsia="PT Astra Sans" w:cs="PT Astra Sans" w:ascii="Arial" w:hAnsi="Arial"/>
                <w:b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  <w:lang w:val="ru-RU" w:eastAsia="ar-SA"/>
              </w:rPr>
              <w:t xml:space="preserve">Направление </w:t>
            </w:r>
            <w:r>
              <w:rPr>
                <w:rFonts w:ascii="Arial" w:hAnsi="Arial"/>
                <w:b/>
                <w:bCs/>
                <w:sz w:val="22"/>
                <w:szCs w:val="22"/>
                <w:shd w:fill="auto" w:val="clear"/>
              </w:rPr>
              <w:t>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</w:tr>
      <w:tr>
        <w:trPr>
          <w:trHeight w:val="836" w:hRule="atLeast"/>
        </w:trPr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Ответственный орган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076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5"/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Администрация Мишкинского муниципального округа Курганской области</w:t>
            </w:r>
          </w:p>
        </w:tc>
      </w:tr>
      <w:tr>
        <w:trPr>
          <w:trHeight w:val="492" w:hRule="atLeast"/>
        </w:trPr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Получатели услуги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446" w:leader="none"/>
              </w:tabs>
              <w:bidi w:val="0"/>
              <w:spacing w:lineRule="auto" w:line="240" w:before="0" w:after="0"/>
              <w:ind w:left="0" w:right="282" w:hanging="0"/>
              <w:jc w:val="both"/>
              <w:rPr>
                <w:rFonts w:ascii="Arial" w:hAnsi="Arial" w:eastAsia="PT Astra Sans" w:cs="PT Astra Sans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sz w:val="22"/>
                <w:szCs w:val="22"/>
                <w:shd w:fill="auto" w:val="clear"/>
              </w:rPr>
              <w:t xml:space="preserve">Заявителями на получение государственной услуги являются физические лица, юридические лица, индивидуальные предприниматели, являющиеся застройщиками </w:t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0" w:leader="none"/>
              </w:tabs>
              <w:bidi w:val="0"/>
              <w:spacing w:lineRule="auto" w:line="240" w:before="0" w:after="0"/>
              <w:ind w:left="0" w:right="282" w:hanging="0"/>
              <w:jc w:val="both"/>
              <w:rPr>
                <w:rFonts w:ascii="Arial" w:hAnsi="Arial" w:eastAsia="PT Astra Sans" w:cs="PT Astra Sans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sz w:val="22"/>
                <w:szCs w:val="22"/>
                <w:shd w:fill="auto" w:val="clear"/>
              </w:rPr>
      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      </w:r>
          </w:p>
        </w:tc>
      </w:tr>
      <w:tr>
        <w:trPr>
          <w:trHeight w:val="774" w:hRule="atLeast"/>
        </w:trPr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Услуга предоставляется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fill="FFFFFF"/>
              <w:tabs>
                <w:tab w:val="clear" w:pos="708"/>
                <w:tab w:val="left" w:pos="1076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5"/>
                <w:rFonts w:eastAsia="PT Astra Sans" w:cs="PT Astra Sans"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 xml:space="preserve">Отделом </w:t>
            </w:r>
            <w:r>
              <w:rPr>
                <w:rFonts w:ascii="Arial" w:hAnsi="Arial"/>
                <w:bCs/>
                <w:color w:val="000000"/>
                <w:sz w:val="22"/>
                <w:szCs w:val="22"/>
                <w:shd w:fill="auto" w:val="clear"/>
              </w:rPr>
              <w:t xml:space="preserve">строительства, транспорта, связи и ЖКХ </w:t>
            </w:r>
            <w:r>
              <w:rPr>
                <w:rFonts w:ascii="Arial" w:hAnsi="Arial"/>
                <w:bCs/>
                <w:iCs/>
                <w:color w:val="000000"/>
                <w:sz w:val="22"/>
                <w:szCs w:val="22"/>
                <w:shd w:fill="auto" w:val="clear"/>
              </w:rPr>
              <w:t>Администрации Мишкинского муниципального округа Курганской области</w:t>
            </w:r>
          </w:p>
        </w:tc>
      </w:tr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Заявители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fill="FFFFFF"/>
              <w:tabs>
                <w:tab w:val="clear" w:pos="708"/>
                <w:tab w:val="left" w:pos="0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PT Astra Sans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физические </w:t>
            </w:r>
            <w:r>
              <w:rPr>
                <w:rFonts w:cs="Arial" w:ascii="Arial" w:hAnsi="Arial"/>
                <w:color w:val="000000"/>
                <w:sz w:val="22"/>
                <w:szCs w:val="22"/>
                <w:shd w:fill="auto" w:val="clear"/>
              </w:rPr>
              <w:t>лица, юридические лица, индивидуальные предприниматели, являющиеся застройщиками</w:t>
            </w:r>
          </w:p>
        </w:tc>
      </w:tr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Обязательные документы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fill="FFFFFF"/>
              <w:tabs>
                <w:tab w:val="clear" w:pos="708"/>
                <w:tab w:val="left" w:pos="1095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PT Astra Sans" w:cs="PT Astra Sans" w:ascii="Arial" w:hAnsi="Arial"/>
                <w:bCs/>
                <w:color w:val="000000"/>
                <w:sz w:val="22"/>
                <w:szCs w:val="22"/>
                <w:shd w:fill="auto" w:val="clear"/>
              </w:rPr>
              <w:t>1</w:t>
            </w:r>
            <w:r>
              <w:rPr>
                <w:rFonts w:eastAsia="PT Astra Sans" w:cs="PT Astra Sans" w:ascii="Arial" w:hAnsi="Arial"/>
                <w:bCs/>
                <w:color w:val="000000"/>
                <w:sz w:val="22"/>
                <w:szCs w:val="22"/>
                <w:shd w:fill="auto" w:val="clear"/>
              </w:rPr>
              <w:t xml:space="preserve">) </w:t>
            </w:r>
            <w:r>
              <w:rPr>
                <w:rFonts w:ascii="Arial" w:hAnsi="Arial"/>
                <w:b/>
                <w:bCs/>
                <w:sz w:val="22"/>
                <w:szCs w:val="22"/>
                <w:shd w:fill="auto" w:val="clear"/>
              </w:rPr>
              <w:t>уведомление о сносе;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2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) документ, удостоверяющий личность Заявителя или Представителя заявителя;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3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) документ, подтверждающий полномочия Представителя заявителя действовать от имени Заявителя 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4)</w:t>
            </w: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 xml:space="preserve"> нотариально удостоверенное 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5)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6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) результаты и материалы обследования объекта капитального строительства (в случае направления уведомления о сносе);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7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) проект организации работ по сносу объекта капитального строительства (в случае направления уведомления о сносе);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bCs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1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 xml:space="preserve">) </w:t>
            </w:r>
            <w:r>
              <w:rPr>
                <w:rFonts w:ascii="Arial" w:hAnsi="Arial"/>
                <w:b/>
                <w:bCs/>
                <w:sz w:val="22"/>
                <w:szCs w:val="22"/>
                <w:shd w:fill="auto" w:val="clear"/>
              </w:rPr>
              <w:t>уведомление о завершении сноса.</w:t>
            </w:r>
          </w:p>
        </w:tc>
      </w:tr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Необязательные документы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fill="FFFFFF"/>
              <w:tabs>
                <w:tab w:val="clear" w:pos="708"/>
                <w:tab w:val="left" w:pos="1363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cs="PT Astra Sans"/>
                <w:color w:val="000000"/>
                <w:sz w:val="22"/>
                <w:szCs w:val="22"/>
              </w:rPr>
            </w:pPr>
            <w:r>
              <w:rPr>
                <w:rFonts w:eastAsia="PT Astra Sans" w:cs="PT Astra Sans" w:ascii="Arial" w:hAnsi="Arial"/>
                <w:bCs/>
                <w:color w:val="000000"/>
                <w:sz w:val="22"/>
                <w:szCs w:val="22"/>
                <w:shd w:fill="auto" w:val="clear"/>
              </w:rPr>
              <w:t>1</w:t>
            </w:r>
            <w:r>
              <w:rPr>
                <w:rFonts w:eastAsia="PT Astra Sans" w:cs="PT Astra Sans" w:ascii="Arial" w:hAnsi="Arial"/>
                <w:bCs/>
                <w:color w:val="000000"/>
                <w:sz w:val="22"/>
                <w:szCs w:val="22"/>
                <w:shd w:fill="auto" w:val="clear"/>
              </w:rPr>
              <w:t xml:space="preserve">) </w:t>
            </w:r>
            <w:r>
              <w:rPr>
                <w:rFonts w:cs="PT Astra Sans" w:ascii="Arial" w:hAnsi="Arial"/>
                <w:bCs/>
                <w:color w:val="000000"/>
                <w:sz w:val="22"/>
                <w:szCs w:val="22"/>
                <w:shd w:fill="auto" w:val="clear"/>
              </w:rPr>
              <w:t>сведения из Е</w:t>
            </w:r>
            <w:r>
              <w:rPr>
                <w:rFonts w:eastAsia="Calibri" w:cs="PT Astra Sans" w:ascii="Arial" w:hAnsi="Arial"/>
                <w:bCs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ГРЮЛ </w:t>
            </w:r>
            <w:r>
              <w:rPr>
                <w:rFonts w:cs="PT Astra Sans" w:ascii="Arial" w:hAnsi="Arial"/>
                <w:bCs/>
                <w:color w:val="000000"/>
                <w:sz w:val="22"/>
                <w:szCs w:val="22"/>
                <w:shd w:fill="auto" w:val="clear"/>
              </w:rPr>
              <w:t xml:space="preserve">или из </w:t>
            </w:r>
            <w:r>
              <w:rPr>
                <w:rFonts w:eastAsia="Calibri" w:cs="PT Astra Sans" w:ascii="Arial" w:hAnsi="Arial"/>
                <w:bCs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ЕГРИП;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2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) сведения из Е</w:t>
            </w:r>
            <w:r>
              <w:rPr>
                <w:rFonts w:eastAsia="Calibri" w:cs="" w:ascii="Arial" w:hAnsi="Arial"/>
                <w:bCs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ГРН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 xml:space="preserve"> (в случае направления уведомлений по объектам недвижимости, права на которые зарегистрированы в Едином государственном реестре недвижимости);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3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) решение суда о сносе объекта капитального строительства;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4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) решение органа местного самоуправления о сносе объекта капитального строительства.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bCs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Результат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  <w:shd w:fill="auto" w:val="clear"/>
              </w:rPr>
              <w:t xml:space="preserve">В 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 xml:space="preserve">случае обращения за услугой «Направление уведомления о </w:t>
            </w:r>
            <w:r>
              <w:rPr>
                <w:rFonts w:ascii="Arial" w:hAnsi="Arial"/>
                <w:b/>
                <w:bCs/>
                <w:sz w:val="22"/>
                <w:szCs w:val="22"/>
                <w:shd w:fill="auto" w:val="clear"/>
              </w:rPr>
              <w:t>планируемом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 xml:space="preserve"> сносе объекта капитального строительства: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 xml:space="preserve">1) извещение о приеме уведомления </w:t>
            </w:r>
            <w:r>
              <w:rPr>
                <w:rFonts w:ascii="Arial" w:hAnsi="Arial"/>
                <w:bCs/>
                <w:color w:val="000000"/>
                <w:sz w:val="22"/>
                <w:szCs w:val="22"/>
                <w:shd w:fill="auto" w:val="clear"/>
              </w:rPr>
              <w:t>о планируемом сносе объекта капитального строительства;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shd w:fill="auto" w:val="clear"/>
              </w:rPr>
              <w:t>2) отказ в предоставлении Муниципальной услуги</w:t>
            </w:r>
            <w:r>
              <w:rPr>
                <w:rFonts w:ascii="Arial" w:hAnsi="Arial"/>
                <w:bCs/>
                <w:color w:val="000000"/>
                <w:sz w:val="22"/>
                <w:szCs w:val="22"/>
                <w:shd w:fill="auto" w:val="clear"/>
              </w:rPr>
              <w:t>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 xml:space="preserve">В случае обращения за услугой «Направление уведомления о </w:t>
            </w:r>
            <w:r>
              <w:rPr>
                <w:rFonts w:ascii="Arial" w:hAnsi="Arial"/>
                <w:b/>
                <w:bCs/>
                <w:sz w:val="22"/>
                <w:szCs w:val="22"/>
                <w:shd w:fill="auto" w:val="clear"/>
              </w:rPr>
              <w:t>завершении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 xml:space="preserve"> сноса объекта капитального строительства»: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1) извещение о приеме уведомления о завершении сноса объекта капитального строительства;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 xml:space="preserve">2) отказ в предоставлении </w:t>
            </w:r>
            <w:r>
              <w:rPr>
                <w:rFonts w:ascii="Arial" w:hAnsi="Arial"/>
                <w:bCs/>
                <w:color w:val="000000"/>
                <w:sz w:val="22"/>
                <w:szCs w:val="22"/>
                <w:shd w:fill="auto" w:val="clear"/>
              </w:rPr>
              <w:t>Муниципальной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 xml:space="preserve"> услуги;</w:t>
            </w:r>
          </w:p>
        </w:tc>
      </w:tr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Срок предоставления услуги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200"/>
              <w:jc w:val="both"/>
              <w:rPr>
                <w:rFonts w:ascii="Arial" w:hAnsi="Arial" w:cs="Arial;sans-serif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/>
              </w:rPr>
            </w:pPr>
            <w:r>
              <w:rPr>
                <w:rFonts w:cs="Arial;sans-serif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/>
              </w:rPr>
              <w:t>7 рабочих дней</w:t>
            </w:r>
          </w:p>
        </w:tc>
      </w:tr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022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а) уведомление о сносе, уведомление о завершении сноса представлено в орган государственной власти, орган местного самоуправления, в полномочия которых не входит предоставление услуги;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 xml:space="preserve">д) уведомление о сносе, уведомление о завершении сноса и документы, указанные в </w:t>
            </w:r>
            <w:r>
              <w:rPr>
                <w:rFonts w:ascii="Arial" w:hAnsi="Arial"/>
                <w:bCs/>
                <w:color w:val="000000"/>
                <w:sz w:val="22"/>
                <w:szCs w:val="22"/>
                <w:shd w:fill="auto" w:val="clear"/>
              </w:rPr>
              <w:t>пункте 2.8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 xml:space="preserve"> настоящего Административного регламента, представлены в </w:t>
            </w:r>
            <w:r>
              <w:rPr>
                <w:rFonts w:ascii="Arial" w:hAnsi="Arial"/>
                <w:bCs/>
                <w:color w:val="000000"/>
                <w:sz w:val="22"/>
                <w:szCs w:val="22"/>
                <w:shd w:fill="auto" w:val="clear"/>
              </w:rPr>
              <w:t>электронной форме с нарушением требований, установленных пунктами 2.5 – 2.7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 xml:space="preserve"> настоящего Административного регламента;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е) выявлено несоблюдение установленных статьей 11 Федерального закона от 6 апреля 2011 года №63-ФЗ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ж) неполное заполнение полей в форме уведомления, в том числе в интерактивной форме уведомления на ЕПГУ;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з) представление неполного комплекта документов, необходимых для предоставления Муниципальной услуги.</w:t>
            </w:r>
          </w:p>
        </w:tc>
      </w:tr>
      <w:tr>
        <w:trPr>
          <w:trHeight w:val="523" w:hRule="atLeast"/>
        </w:trPr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Стоимость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shd w:fill="auto" w:val="clear"/>
              </w:rPr>
              <w:t>Муниципальная услуга оказывается бесплатно</w:t>
            </w:r>
          </w:p>
        </w:tc>
      </w:tr>
      <w:tr>
        <w:trPr>
          <w:trHeight w:val="1090" w:hRule="atLeast"/>
        </w:trPr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  <w:t>Нет</w:t>
            </w:r>
          </w:p>
        </w:tc>
      </w:tr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Административный регламент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zh-CN"/>
              </w:rPr>
              <w:t xml:space="preserve">Постановление </w:t>
            </w:r>
            <w:r>
              <w:rPr>
                <w:rStyle w:val="73"/>
                <w:rFonts w:eastAsia="PT Astra Sans" w:cs="Arial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shd w:fill="auto" w:val="clear"/>
                <w:lang w:eastAsia="zh-CN"/>
              </w:rPr>
              <w:t xml:space="preserve">Администрации </w:t>
            </w:r>
            <w:r>
              <w:rPr>
                <w:rFonts w:cs="Arial" w:ascii="Arial" w:hAnsi="Arial"/>
                <w:color w:val="000000"/>
                <w:sz w:val="22"/>
                <w:szCs w:val="22"/>
                <w:shd w:fill="auto" w:val="clear"/>
              </w:rPr>
              <w:t xml:space="preserve">Мишкинского муниципального округа Курганской области от </w:t>
            </w:r>
            <w:r>
              <w:rPr>
                <w:rFonts w:cs="Arial" w:ascii="Arial" w:hAnsi="Arial"/>
                <w:color w:val="000000"/>
                <w:sz w:val="22"/>
                <w:szCs w:val="22"/>
                <w:u w:val="none"/>
                <w:shd w:fill="auto" w:val="clear"/>
              </w:rPr>
              <w:t xml:space="preserve">26 апреля 2023 года №_86 </w:t>
            </w:r>
            <w:r>
              <w:rPr>
                <w:rFonts w:cs="Arial" w:ascii="Arial" w:hAnsi="Arial"/>
                <w:color w:val="000000"/>
                <w:sz w:val="22"/>
                <w:szCs w:val="22"/>
                <w:shd w:fill="auto" w:val="clear"/>
              </w:rPr>
              <w:t xml:space="preserve">«Об утверждении Административного регламента предоставления Администрацией Мишкинского муниципального округа Курганской области муниципальной услуги </w:t>
            </w:r>
            <w:r>
              <w:rPr>
                <w:rFonts w:ascii="Arial" w:hAnsi="Arial"/>
                <w:bCs/>
                <w:sz w:val="22"/>
                <w:szCs w:val="22"/>
                <w:shd w:fill="auto" w:val="clear"/>
              </w:rPr>
      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  <w:r>
              <w:rPr>
                <w:rFonts w:ascii="Arial" w:hAnsi="Arial"/>
                <w:b/>
                <w:bCs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Cs/>
                <w:color w:val="000000"/>
                <w:sz w:val="22"/>
                <w:szCs w:val="22"/>
                <w:shd w:fill="auto" w:val="clear"/>
              </w:rPr>
              <w:t xml:space="preserve">на территории </w:t>
            </w:r>
            <w:r>
              <w:rPr>
                <w:rFonts w:cs="Arial" w:ascii="Arial" w:hAnsi="Arial"/>
                <w:color w:val="000000"/>
                <w:spacing w:val="-1"/>
                <w:sz w:val="22"/>
                <w:szCs w:val="22"/>
                <w:shd w:fill="auto" w:val="clear"/>
              </w:rPr>
              <w:t>Мишкинского муниципального округа Курганской области»</w:t>
            </w:r>
          </w:p>
        </w:tc>
      </w:tr>
      <w:tr>
        <w:trPr/>
        <w:tc>
          <w:tcPr>
            <w:tcW w:w="2545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 w:eastAsia="Times New Roman" w:cs="Arial"/>
                <w:b/>
                <w:b/>
                <w:bCs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2"/>
                <w:szCs w:val="22"/>
                <w:shd w:fill="auto" w:val="clear"/>
                <w:lang w:eastAsia="ru-RU"/>
              </w:rPr>
              <w:t>Контактные данные органа</w:t>
            </w:r>
          </w:p>
        </w:tc>
        <w:tc>
          <w:tcPr>
            <w:tcW w:w="12817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  <w:shd w:fill="auto" w:val="clear"/>
              </w:rPr>
              <w:t>Г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shd w:fill="auto" w:val="clear"/>
              </w:rPr>
              <w:t xml:space="preserve">лава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Мишкинского муниципального округа Мамонтов Денис Владимирович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i w:val="false"/>
                <w:iCs w:val="false"/>
                <w:sz w:val="22"/>
                <w:szCs w:val="22"/>
                <w:shd w:fill="auto" w:val="clear"/>
              </w:rPr>
              <w:t xml:space="preserve">Администрация Мишкинского района находится по адресу: </w:t>
            </w:r>
            <w:r>
              <w:rPr>
                <w:rFonts w:cs="Liberation Sans;Arial" w:ascii="Arial" w:hAnsi="Arial"/>
                <w:i w:val="false"/>
                <w:iCs w:val="false"/>
                <w:sz w:val="22"/>
                <w:szCs w:val="22"/>
                <w:shd w:fill="auto" w:val="clear"/>
              </w:rPr>
              <w:t>641040</w:t>
            </w:r>
            <w:r>
              <w:rPr>
                <w:rFonts w:cs="Arial" w:ascii="Arial" w:hAnsi="Arial"/>
                <w:i w:val="false"/>
                <w:iCs w:val="false"/>
                <w:sz w:val="22"/>
                <w:szCs w:val="22"/>
                <w:shd w:fill="auto" w:val="clear"/>
              </w:rPr>
              <w:t>, улица Ленина, дом 30, р.п. Мишкино, Мишкинского района, Курганской области.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cs="Arial" w:ascii="Arial" w:hAnsi="Arial"/>
                <w:i w:val="false"/>
                <w:iCs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i w:val="false"/>
                <w:iCs w:val="false"/>
                <w:sz w:val="22"/>
                <w:szCs w:val="22"/>
                <w:shd w:fill="auto" w:val="clear"/>
              </w:rPr>
              <w:t xml:space="preserve">Тел. </w:t>
            </w:r>
            <w:r>
              <w:rPr>
                <w:rStyle w:val="S5"/>
                <w:rFonts w:cs="Arial" w:ascii="Arial" w:hAnsi="Arial"/>
                <w:i w:val="false"/>
                <w:iCs w:val="false"/>
                <w:sz w:val="22"/>
                <w:szCs w:val="22"/>
                <w:shd w:fill="auto" w:val="clear"/>
              </w:rPr>
              <w:t>8(35247)32346</w:t>
            </w:r>
          </w:p>
          <w:p>
            <w:pPr>
              <w:pStyle w:val="Msonormalcxspmiddle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 w:cs="Arial"/>
                <w:i w:val="false"/>
                <w:i w:val="false"/>
                <w:iCs w:val="false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i w:val="false"/>
                <w:iCs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i w:val="false"/>
                <w:iCs w:val="false"/>
                <w:sz w:val="22"/>
                <w:szCs w:val="22"/>
                <w:shd w:fill="auto" w:val="clear"/>
              </w:rPr>
              <w:t>График работы Администрации Мишкинского района: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 w:cs="Arial"/>
                <w:i w:val="false"/>
                <w:i w:val="false"/>
                <w:iCs w:val="false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i w:val="false"/>
                <w:iCs w:val="false"/>
                <w:sz w:val="22"/>
                <w:szCs w:val="22"/>
                <w:shd w:fill="auto" w:val="clear"/>
              </w:rPr>
              <w:t>- ежедневно с 8 до 17 часов (кроме выходных и праздничных дней),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 w:cs="Arial"/>
                <w:i w:val="false"/>
                <w:i w:val="false"/>
                <w:iCs w:val="false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i w:val="false"/>
                <w:iCs w:val="false"/>
                <w:sz w:val="22"/>
                <w:szCs w:val="22"/>
                <w:shd w:fill="auto" w:val="clear"/>
              </w:rPr>
              <w:t>- в предпраздничные дни – с 8 до 16 часов,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6"/>
                <w:rFonts w:cs="Liberation Sans" w:ascii="Arial" w:hAnsi="Arial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- перерыв с 12 до 13 часов.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6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73">
    <w:name w:val="Основной текст (7)3"/>
    <w:qFormat/>
    <w:rPr/>
  </w:style>
  <w:style w:type="character" w:styleId="Style15">
    <w:name w:val="Основной текст + Курсив"/>
    <w:qFormat/>
    <w:rPr>
      <w:b/>
      <w:i/>
    </w:rPr>
  </w:style>
  <w:style w:type="character" w:styleId="S5">
    <w:name w:val="s5"/>
    <w:basedOn w:val="DefaultParagraphFont"/>
    <w:qFormat/>
    <w:rPr/>
  </w:style>
  <w:style w:type="character" w:styleId="Style16">
    <w:name w:val="Основной шрифт абзаца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link w:val="ConsPlusNormal0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Arial Unicode MS" w:hAnsi="Arial Unicode MS" w:eastAsia="Arial Unicode MS" w:cs="Liberation Serif"/>
      <w:color w:val="000000"/>
      <w:kern w:val="2"/>
      <w:sz w:val="24"/>
      <w:szCs w:val="24"/>
      <w:lang w:val="ru-RU" w:eastAsia="ar-SA" w:bidi="ar-SA"/>
    </w:rPr>
  </w:style>
  <w:style w:type="paragraph" w:styleId="Msonormalcxspmiddle">
    <w:name w:val="msonormalcxspmiddle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Application>LibreOffice/7.0.4.2$Windows_X86_64 LibreOffice_project/dcf040e67528d9187c66b2379df5ea4407429775</Application>
  <AppVersion>15.0000</AppVersion>
  <Pages>3</Pages>
  <Words>621</Words>
  <Characters>4712</Characters>
  <CharactersWithSpaces>5281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2018-11-16T04:57:00Z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2024-04-05T15:38:03Z</dcterms:modified>
  <cp:revision>167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