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74"/>
        <w:gridCol w:w="12589"/>
      </w:tblGrid>
      <w:tr w:rsidR="00C64A85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highlight w:val="white"/>
              </w:rPr>
              <w:t xml:space="preserve">Администрация </w:t>
            </w:r>
            <w:r>
              <w:rPr>
                <w:rFonts w:ascii="Arial" w:hAnsi="Arial" w:cs="PT Astra Serif;Times New Roman"/>
                <w:highlight w:val="white"/>
              </w:rPr>
              <w:t xml:space="preserve">Далматовского </w:t>
            </w:r>
            <w:r w:rsidR="00BE5D57" w:rsidRPr="00D67C54">
              <w:rPr>
                <w:rFonts w:ascii="Liberation Sans" w:hAnsi="Liberation Sans" w:cs="Arial"/>
                <w:sz w:val="24"/>
                <w:szCs w:val="24"/>
              </w:rPr>
              <w:t>муниципального округа</w:t>
            </w:r>
          </w:p>
        </w:tc>
      </w:tr>
      <w:tr w:rsidR="00C64A85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spacing w:after="0" w:line="240" w:lineRule="auto"/>
            </w:pPr>
            <w:r>
              <w:rPr>
                <w:rFonts w:ascii="Arial" w:hAnsi="Arial" w:cs="Arial"/>
                <w:highlight w:val="white"/>
              </w:rPr>
              <w:t>Физические и юридические лица</w:t>
            </w:r>
          </w:p>
        </w:tc>
      </w:tr>
      <w:tr w:rsidR="00C64A85">
        <w:trPr>
          <w:trHeight w:val="69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Администрация </w:t>
            </w:r>
            <w:r>
              <w:rPr>
                <w:rStyle w:val="FontStyle20"/>
                <w:rFonts w:ascii="Arial" w:eastAsia="Arial" w:hAnsi="Arial" w:cs="PT Astra Serif;Times New Roman"/>
                <w:color w:val="000000"/>
                <w:sz w:val="22"/>
                <w:szCs w:val="22"/>
                <w:highlight w:val="white"/>
              </w:rPr>
              <w:t xml:space="preserve">Далматовского </w:t>
            </w:r>
            <w:r w:rsidR="00BE5D57" w:rsidRPr="00D67C54">
              <w:rPr>
                <w:rFonts w:ascii="Liberation Sans" w:hAnsi="Liberation Sans" w:cs="Arial"/>
                <w:sz w:val="24"/>
                <w:szCs w:val="24"/>
              </w:rPr>
              <w:t>муниципального округа</w:t>
            </w:r>
          </w:p>
        </w:tc>
      </w:tr>
      <w:tr w:rsidR="00C64A85">
        <w:trPr>
          <w:trHeight w:val="510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 w:rsidP="00FF125B">
            <w:pPr>
              <w:spacing w:after="0" w:line="240" w:lineRule="auto"/>
            </w:pPr>
            <w:r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  <w:highlight w:val="white"/>
              </w:rPr>
              <w:t>«</w:t>
            </w:r>
            <w:r w:rsidR="00FF125B" w:rsidRPr="00FF125B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Согласование проведения переустройства и (или) перепланировки помещения в многоквартирном доме</w:t>
            </w:r>
            <w:bookmarkStart w:id="0" w:name="_GoBack"/>
            <w:bookmarkEnd w:id="0"/>
            <w:r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  <w:highlight w:val="white"/>
              </w:rPr>
              <w:t>»</w:t>
            </w:r>
          </w:p>
        </w:tc>
      </w:tr>
      <w:tr w:rsidR="00C64A85">
        <w:trPr>
          <w:trHeight w:val="840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632C82">
            <w:pPr>
              <w:spacing w:beforeAutospacing="1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/>
                <w:spacing w:val="-1"/>
                <w:highlight w:val="white"/>
                <w:lang w:eastAsia="ar-SA"/>
              </w:rPr>
              <w:t>собственник</w:t>
            </w:r>
            <w:r w:rsidRPr="00632C82">
              <w:rPr>
                <w:rFonts w:ascii="Arial" w:hAnsi="Arial" w:cs="Arial"/>
                <w:iCs/>
                <w:color w:val="000000"/>
                <w:spacing w:val="-1"/>
                <w:highlight w:val="white"/>
                <w:lang w:eastAsia="ar-SA"/>
              </w:rPr>
              <w:t xml:space="preserve"> помещения в многоква</w:t>
            </w:r>
            <w:r>
              <w:rPr>
                <w:rFonts w:ascii="Arial" w:hAnsi="Arial" w:cs="Arial"/>
                <w:iCs/>
                <w:color w:val="000000"/>
                <w:spacing w:val="-1"/>
                <w:highlight w:val="white"/>
                <w:lang w:eastAsia="ar-SA"/>
              </w:rPr>
              <w:t xml:space="preserve">ртирном доме или </w:t>
            </w:r>
            <w:proofErr w:type="gramStart"/>
            <w:r>
              <w:rPr>
                <w:rFonts w:ascii="Arial" w:hAnsi="Arial" w:cs="Arial"/>
                <w:iCs/>
                <w:color w:val="000000"/>
                <w:spacing w:val="-1"/>
                <w:highlight w:val="white"/>
                <w:lang w:eastAsia="ar-SA"/>
              </w:rPr>
              <w:t>уполномоченное</w:t>
            </w:r>
            <w:proofErr w:type="gramEnd"/>
            <w:r w:rsidRPr="00632C82">
              <w:rPr>
                <w:rFonts w:ascii="Arial" w:hAnsi="Arial" w:cs="Arial"/>
                <w:iCs/>
                <w:color w:val="000000"/>
                <w:spacing w:val="-1"/>
                <w:highlight w:val="white"/>
                <w:lang w:eastAsia="ar-SA"/>
              </w:rPr>
              <w:t xml:space="preserve"> им лицу</w:t>
            </w:r>
          </w:p>
        </w:tc>
      </w:tr>
      <w:tr w:rsidR="00C64A85">
        <w:trPr>
          <w:trHeight w:val="11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pStyle w:val="Style13"/>
              <w:spacing w:after="0" w:line="240" w:lineRule="auto"/>
              <w:jc w:val="left"/>
              <w:rPr>
                <w:rFonts w:ascii="Arial" w:hAnsi="Arial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pacing w:val="-1"/>
                <w:highlight w:val="white"/>
                <w:u w:val="single"/>
              </w:rPr>
              <w:t xml:space="preserve">1. Переустройство или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highlight w:val="white"/>
                <w:u w:val="single"/>
              </w:rPr>
              <w:t>перепланировка  помещения  в многоквартирном доме</w:t>
            </w:r>
          </w:p>
          <w:p w:rsidR="00C64A85" w:rsidRPr="00632C82" w:rsidRDefault="00632C82">
            <w:pPr>
              <w:spacing w:after="0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-</w:t>
            </w:r>
            <w:r w:rsidR="00CC4E7D"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</w:t>
            </w:r>
            <w:r w:rsidRPr="00632C82">
              <w:rPr>
                <w:rFonts w:ascii="Liberation Sans" w:hAnsi="Liberation Sans" w:cs="Arial"/>
              </w:rPr>
              <w:t>заявление о переустройстве и (или) перепланировке помещения в многоквартирном доме</w:t>
            </w:r>
            <w:r>
              <w:rPr>
                <w:rFonts w:ascii="Liberation Sans" w:hAnsi="Liberation Sans" w:cs="Arial"/>
              </w:rPr>
              <w:t>;</w:t>
            </w:r>
          </w:p>
          <w:p w:rsidR="00632C82" w:rsidRPr="00632C82" w:rsidRDefault="00632C82" w:rsidP="00632C82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правоустанавливающие документы на переустраиваемое и (или)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перепланируемое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помещение в многоквартирном доме (подлинники или засвидетельствованные в нотариальном порядке копии);</w:t>
            </w:r>
          </w:p>
          <w:p w:rsidR="00632C82" w:rsidRPr="00632C82" w:rsidRDefault="00632C82" w:rsidP="00632C82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перепланируемого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 w:rsidR="00632C82" w:rsidRPr="00632C82" w:rsidRDefault="00632C82" w:rsidP="00632C82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протокол общего собрания собственни</w:t>
            </w: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ков помещений в многоквартирном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доме о согласии всех собственников помещений в многоквартирном доме, в случа</w:t>
            </w: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е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если переустройство и (или) перепланировка п</w:t>
            </w: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омещения в многоквартирном доме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невозможны без присоединения к данному помещению части общего имущества в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br/>
              <w:t>многоквартирном доме;</w:t>
            </w:r>
            <w:bookmarkStart w:id="1" w:name="Par98"/>
            <w:bookmarkEnd w:id="1"/>
          </w:p>
          <w:p w:rsidR="00632C82" w:rsidRPr="00632C82" w:rsidRDefault="00632C82" w:rsidP="00632C82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технический паспорт переустраиваемого и (или)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перепланируемого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помещения в многоквартирном доме;</w:t>
            </w:r>
          </w:p>
          <w:p w:rsidR="00632C82" w:rsidRPr="00632C82" w:rsidRDefault="00632C82" w:rsidP="00632C82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перепланируемое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наймодателем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>перепланируемого</w:t>
            </w:r>
            <w:proofErr w:type="spellEnd"/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</w:rPr>
              <w:t xml:space="preserve">  жилого помещения по договору социального найма);</w:t>
            </w:r>
            <w:proofErr w:type="gramEnd"/>
          </w:p>
          <w:p w:rsidR="00C64A85" w:rsidRPr="00F307D3" w:rsidRDefault="00632C82" w:rsidP="00F307D3">
            <w:pPr>
              <w:spacing w:after="0"/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  <w:lang w:bidi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  <w:lang w:bidi="ru-RU"/>
              </w:rPr>
              <w:t xml:space="preserve"> - </w:t>
            </w:r>
            <w:r w:rsidRPr="00632C82">
              <w:rPr>
                <w:rFonts w:ascii="Arial" w:eastAsia="Times New Roman" w:hAnsi="Arial" w:cs="Arial"/>
                <w:bCs/>
                <w:color w:val="000000"/>
                <w:spacing w:val="-1"/>
                <w:highlight w:val="white"/>
                <w:lang w:bidi="ru-RU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</w:tc>
      </w:tr>
      <w:tr w:rsidR="00C64A85">
        <w:trPr>
          <w:trHeight w:val="1466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Pr="00F307D3" w:rsidRDefault="00C64A85">
            <w:pPr>
              <w:spacing w:after="0"/>
              <w:rPr>
                <w:rFonts w:ascii="Arial" w:hAnsi="Arial"/>
                <w:sz w:val="24"/>
                <w:szCs w:val="24"/>
              </w:rPr>
            </w:pPr>
          </w:p>
        </w:tc>
      </w:tr>
      <w:tr w:rsidR="00C64A85">
        <w:trPr>
          <w:trHeight w:val="84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r>
              <w:rPr>
                <w:rFonts w:ascii="Arial" w:hAnsi="Arial" w:cs="Arial"/>
              </w:rPr>
              <w:t xml:space="preserve">1. Выдача уведомления о  переводе жилого помещения в нежилое помещение и </w:t>
            </w:r>
            <w:r>
              <w:rPr>
                <w:rStyle w:val="5"/>
                <w:rFonts w:ascii="Arial" w:hAnsi="Arial" w:cs="Arial"/>
                <w:spacing w:val="-1"/>
                <w:lang w:eastAsia="ru-RU"/>
              </w:rPr>
              <w:t>нежилого помещения в жилое помещение.</w:t>
            </w:r>
          </w:p>
          <w:p w:rsidR="00C64A85" w:rsidRDefault="00CC4E7D">
            <w:r>
              <w:rPr>
                <w:rStyle w:val="5"/>
                <w:rFonts w:ascii="Arial" w:hAnsi="Arial" w:cs="Arial"/>
              </w:rPr>
              <w:t xml:space="preserve">2. Выдача (направление) решения об отказе в переводе жилого помещения в нежилое помещение и </w:t>
            </w:r>
            <w:r>
              <w:rPr>
                <w:rStyle w:val="5"/>
                <w:rFonts w:ascii="Arial" w:hAnsi="Arial" w:cs="Arial"/>
                <w:spacing w:val="-1"/>
                <w:lang w:eastAsia="ru-RU"/>
              </w:rPr>
              <w:t>нежилого помещения в жилое помещение.</w:t>
            </w:r>
          </w:p>
        </w:tc>
      </w:tr>
      <w:tr w:rsidR="00C64A85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45  календарных дней</w:t>
            </w:r>
          </w:p>
        </w:tc>
      </w:tr>
      <w:tr w:rsidR="00C64A85">
        <w:trPr>
          <w:trHeight w:val="52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C64A85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 w:rsidR="00C64A85">
        <w:trPr>
          <w:trHeight w:val="1395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C4E7D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Отсутствуют</w:t>
            </w:r>
          </w:p>
        </w:tc>
      </w:tr>
      <w:tr w:rsidR="00C64A85">
        <w:trPr>
          <w:trHeight w:val="1201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C64A85" w:rsidRDefault="00CC4E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64A85" w:rsidRDefault="00C24965" w:rsidP="00C24965">
            <w:pPr>
              <w:pStyle w:val="ae"/>
              <w:shd w:val="clear" w:color="auto" w:fill="FFFFFF"/>
              <w:spacing w:after="198"/>
            </w:pPr>
            <w:bookmarkStart w:id="2" w:name="__DdeLink__38128_2889315848"/>
            <w:r>
              <w:rPr>
                <w:rFonts w:ascii="Arial" w:hAnsi="Arial" w:cs="Arial"/>
                <w:color w:val="000000"/>
                <w:shd w:val="clear" w:color="auto" w:fill="FFFFFF"/>
              </w:rPr>
              <w:t>Постановление Администрации Далматовского муниципального округа от 7 января 2024 года № 1186 «</w:t>
            </w:r>
            <w:r>
              <w:rPr>
                <w:rFonts w:ascii="Arial" w:hAnsi="Arial" w:cs="Arial"/>
                <w:color w:val="000000"/>
                <w:spacing w:val="-2"/>
                <w:shd w:val="clear" w:color="auto" w:fill="FFFFFF"/>
              </w:rPr>
              <w:t xml:space="preserve">Об </w:t>
            </w:r>
            <w:r>
              <w:rPr>
                <w:rFonts w:ascii="Arial" w:hAnsi="Arial" w:cs="Arial"/>
              </w:rPr>
              <w:t>утверждении Административного регламента предоставления Администрацией Далматовского муниципального округа муниципальной услуги «Согласование проведения переустройства и (или) перепланировки помещения в многоквартирном доме»</w:t>
            </w:r>
            <w:bookmarkEnd w:id="2"/>
          </w:p>
        </w:tc>
      </w:tr>
    </w:tbl>
    <w:p w:rsidR="00C64A85" w:rsidRDefault="00C64A85"/>
    <w:sectPr w:rsidR="00C64A85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5"/>
    <w:rsid w:val="00632C82"/>
    <w:rsid w:val="00BE5D57"/>
    <w:rsid w:val="00C24965"/>
    <w:rsid w:val="00C64A85"/>
    <w:rsid w:val="00CC4E7D"/>
    <w:rsid w:val="00D420EC"/>
    <w:rsid w:val="00F307D3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13">
    <w:name w:val="Style13"/>
    <w:basedOn w:val="a"/>
    <w:qFormat/>
    <w:pPr>
      <w:spacing w:line="166" w:lineRule="exact"/>
      <w:jc w:val="right"/>
    </w:pPr>
  </w:style>
  <w:style w:type="paragraph" w:styleId="ae">
    <w:name w:val="Normal (Web)"/>
    <w:basedOn w:val="a"/>
    <w:uiPriority w:val="99"/>
    <w:unhideWhenUsed/>
    <w:rsid w:val="00C2496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13">
    <w:name w:val="Style13"/>
    <w:basedOn w:val="a"/>
    <w:qFormat/>
    <w:pPr>
      <w:spacing w:line="166" w:lineRule="exact"/>
      <w:jc w:val="right"/>
    </w:pPr>
  </w:style>
  <w:style w:type="paragraph" w:styleId="ae">
    <w:name w:val="Normal (Web)"/>
    <w:basedOn w:val="a"/>
    <w:uiPriority w:val="99"/>
    <w:unhideWhenUsed/>
    <w:rsid w:val="00C2496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Ксения Сергеевна Разживина</cp:lastModifiedBy>
  <cp:revision>42</cp:revision>
  <cp:lastPrinted>2018-08-08T10:10:00Z</cp:lastPrinted>
  <dcterms:created xsi:type="dcterms:W3CDTF">2018-05-28T04:16:00Z</dcterms:created>
  <dcterms:modified xsi:type="dcterms:W3CDTF">2024-03-22T09:32:00Z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