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150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54"/>
        <w:gridCol w:w="11998"/>
      </w:tblGrid>
      <w:tr>
        <w:trPr/>
        <w:tc>
          <w:tcPr>
            <w:tcW w:w="285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199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Arial CYR" w:cs="Arial CYR" w:ascii="Arial" w:hAnsi="Arial"/>
                <w:b/>
                <w:bCs/>
                <w:color w:val="000000"/>
                <w:sz w:val="22"/>
                <w:szCs w:val="22"/>
                <w:shd w:fill="auto" w:val="clear"/>
                <w:lang w:eastAsia="ru-RU"/>
              </w:rPr>
              <w:t>Назначение выплаты гражданам финансовой помощи в связи с утратой ими имущества первой необходимости в результате чрезвычайной ситуации природного и техногенного характера.</w:t>
            </w:r>
          </w:p>
        </w:tc>
      </w:tr>
      <w:tr>
        <w:trPr/>
        <w:tc>
          <w:tcPr>
            <w:tcW w:w="285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Ответственный орган</w:t>
            </w:r>
          </w:p>
        </w:tc>
        <w:tc>
          <w:tcPr>
            <w:tcW w:w="1199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 CYR" w:ascii="Arial" w:hAnsi="Arial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>Г</w:t>
            </w:r>
            <w:r>
              <w:rPr>
                <w:rFonts w:ascii="Arial" w:hAnsi="Arial"/>
                <w:sz w:val="22"/>
                <w:szCs w:val="22"/>
              </w:rPr>
              <w:t>осударственная услуга предоставляется Государственным казенным учреждением «Центр социальной поддержки Курганской области», подведомственным Департаменту социальной политики Курганской области.</w:t>
            </w:r>
          </w:p>
        </w:tc>
      </w:tr>
      <w:tr>
        <w:trPr/>
        <w:tc>
          <w:tcPr>
            <w:tcW w:w="285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Получатели услуги</w:t>
            </w:r>
          </w:p>
        </w:tc>
        <w:tc>
          <w:tcPr>
            <w:tcW w:w="1199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hyperlink r:id="rId2" w:tgtFrame="Физические лица">
              <w:r>
                <w:rPr>
                  <w:rFonts w:eastAsia="Times New Roman" w:cs="Arial" w:ascii="Arial" w:hAnsi="Arial"/>
                  <w:sz w:val="22"/>
                  <w:szCs w:val="22"/>
                  <w:lang w:eastAsia="ru-RU"/>
                </w:rPr>
                <w:t>Физические лица</w:t>
              </w:r>
            </w:hyperlink>
          </w:p>
        </w:tc>
      </w:tr>
      <w:tr>
        <w:trPr>
          <w:trHeight w:val="1638" w:hRule="atLeast"/>
        </w:trPr>
        <w:tc>
          <w:tcPr>
            <w:tcW w:w="285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Заявители</w:t>
            </w:r>
          </w:p>
        </w:tc>
        <w:tc>
          <w:tcPr>
            <w:tcW w:w="1199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198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lang w:eastAsia="ru-RU"/>
              </w:rPr>
              <w:t xml:space="preserve">Граждане Российской Федерации, иностранные граждане и лица без гражданства, </w:t>
            </w:r>
            <w:r>
              <w:rPr>
                <w:rFonts w:eastAsia="Arial CYR" w:cs="Arial CYR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>которые утратили имущество первой необходимости</w:t>
            </w: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в результате воздействия поражающих факторов источника чрезвычайной ситуации </w:t>
            </w:r>
            <w:r>
              <w:rPr>
                <w:rFonts w:eastAsia="Arial CYR" w:cs="Arial CYR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природного и техногенного характера </w:t>
            </w: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>.</w:t>
            </w:r>
          </w:p>
        </w:tc>
      </w:tr>
      <w:tr>
        <w:trPr/>
        <w:tc>
          <w:tcPr>
            <w:tcW w:w="285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199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bookmarkStart w:id="0" w:name="dst1622"/>
            <w:bookmarkStart w:id="1" w:name="dst258"/>
            <w:bookmarkEnd w:id="0"/>
            <w:bookmarkEnd w:id="1"/>
            <w:r>
              <w:rPr>
                <w:rFonts w:eastAsia="Times New Roman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- </w:t>
            </w: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>заявление;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FFFFFF" w:val="clear"/>
                <w:lang w:eastAsia="ru-RU"/>
              </w:rPr>
              <w:t xml:space="preserve">- копия </w:t>
            </w: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>паспорта гражданина Российской Федерации или копия паспорта иностранного гражданина либо иного документа, удостоверяющий личность в соответствии с законодательством РФ и копии документов, удостоверяющих личность иных лиц, указанных в заявлении, с предъявлением оригиналов;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FFFFFF" w:val="clear"/>
                <w:lang w:eastAsia="ru-RU"/>
              </w:rPr>
              <w:t xml:space="preserve">- копия </w:t>
            </w: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документа, удостоверяющего полномочия представителя </w:t>
            </w:r>
            <w:r>
              <w:rPr>
                <w:rFonts w:eastAsia="Times New Roman" w:cs="Arial CYR" w:ascii="Arial" w:hAnsi="Arial"/>
                <w:b w:val="false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гражданина, с предъявлением оригинала </w:t>
            </w:r>
            <w:r>
              <w:rPr>
                <w:rFonts w:eastAsia="Times New Roman" w:cs="Arial CYR" w:ascii="Arial" w:hAnsi="Arial"/>
                <w:b w:val="false"/>
                <w:color w:val="000000"/>
                <w:kern w:val="0"/>
                <w:sz w:val="22"/>
                <w:szCs w:val="22"/>
                <w:shd w:fill="FFFF00" w:val="clear"/>
                <w:lang w:val="ru-RU" w:eastAsia="ru-RU" w:bidi="ar-SA"/>
              </w:rPr>
              <w:t>(в случае обращения представителя гражданина);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FFFFFF" w:val="clear"/>
                <w:lang w:eastAsia="ru-RU"/>
              </w:rPr>
              <w:t>-</w:t>
            </w:r>
            <w:r>
              <w:rPr>
                <w:rFonts w:eastAsia="Times New Roman" w:cs="Arial CYR" w:ascii="Arial" w:hAnsi="Arial"/>
                <w:b w:val="false"/>
                <w:color w:val="00000A"/>
                <w:sz w:val="22"/>
                <w:szCs w:val="22"/>
                <w:shd w:fill="auto" w:val="clear"/>
                <w:lang w:eastAsia="ru-RU"/>
              </w:rPr>
              <w:t xml:space="preserve"> копия документа, подтверждающего факт регистрации рождения ребенка, выданного компетентным органом иностранного государства, предъявлением оригинала </w:t>
            </w:r>
            <w:r>
              <w:rPr>
                <w:rFonts w:eastAsia="Times New Roman" w:cs="Arial CYR" w:ascii="Arial" w:hAnsi="Arial"/>
                <w:b w:val="false"/>
                <w:color w:val="00000A"/>
                <w:sz w:val="22"/>
                <w:szCs w:val="22"/>
                <w:shd w:fill="FFFF00" w:val="clear"/>
                <w:lang w:eastAsia="ru-RU"/>
              </w:rPr>
              <w:t>(в случае регистрации акта гражданского состояния компетентным органом иностранного государства);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 CYR" w:ascii="Arial" w:hAnsi="Arial"/>
                <w:b w:val="false"/>
                <w:color w:val="00000A"/>
                <w:sz w:val="22"/>
                <w:szCs w:val="22"/>
                <w:shd w:fill="auto" w:val="clear"/>
                <w:lang w:eastAsia="ru-RU"/>
              </w:rPr>
              <w:t>- копия решения суда об установлении факта проживания гражданина жилом помещении, попавшем в зону ЧС (при наличии);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FFFFFF" w:val="clear"/>
                <w:lang w:eastAsia="ru-RU"/>
              </w:rPr>
              <w:t>- копия документа</w:t>
            </w:r>
            <w:r>
              <w:rPr>
                <w:rFonts w:eastAsia="Times New Roman" w:cs="Arial CYR" w:ascii="Arial" w:hAnsi="Arial"/>
                <w:b w:val="false"/>
                <w:i w:val="false"/>
                <w:caps w:val="false"/>
                <w:smallCaps w:val="false"/>
                <w:color w:val="1C1C1C"/>
                <w:spacing w:val="0"/>
                <w:sz w:val="22"/>
                <w:szCs w:val="22"/>
                <w:shd w:fill="auto" w:val="clear"/>
                <w:lang w:eastAsia="ru-RU"/>
              </w:rPr>
              <w:t xml:space="preserve"> с указанием реквизитов счета гражданина, открытого в российской кредитной организации (</w:t>
            </w:r>
            <w:r>
              <w:rPr>
                <w:rFonts w:eastAsia="Times New Roman" w:cs="Arial CYR" w:ascii="Arial" w:hAnsi="Arial"/>
                <w:b w:val="false"/>
                <w:i w:val="false"/>
                <w:caps w:val="false"/>
                <w:smallCaps w:val="false"/>
                <w:color w:val="1C1C1C"/>
                <w:spacing w:val="0"/>
                <w:sz w:val="22"/>
                <w:szCs w:val="22"/>
                <w:shd w:fill="FFFF00" w:val="clear"/>
                <w:lang w:eastAsia="ru-RU"/>
              </w:rPr>
              <w:t>в случае, если гражданином выбран способ получения выплат путем перечисления их на счет).</w:t>
            </w:r>
          </w:p>
          <w:p>
            <w:pPr>
              <w:pStyle w:val="Western"/>
              <w:widowControl w:val="false"/>
              <w:spacing w:before="280" w:after="14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523" w:hRule="atLeast"/>
        </w:trPr>
        <w:tc>
          <w:tcPr>
            <w:tcW w:w="285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Необязательные документы</w:t>
            </w:r>
          </w:p>
        </w:tc>
        <w:tc>
          <w:tcPr>
            <w:tcW w:w="1199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 xml:space="preserve">- </w:t>
            </w: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>документы (сведения), подтверждающие установление опеки и (или) п</w:t>
            </w: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lang w:eastAsia="ru-RU"/>
              </w:rPr>
              <w:t>опечительства над лицами, указанными в заявлении.</w:t>
            </w:r>
          </w:p>
        </w:tc>
      </w:tr>
      <w:tr>
        <w:trPr>
          <w:trHeight w:val="1071" w:hRule="atLeast"/>
        </w:trPr>
        <w:tc>
          <w:tcPr>
            <w:tcW w:w="285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199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lineRule="auto" w:line="240" w:before="16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Arial CYR" w:cs="Arial CYR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auto" w:val="clear"/>
                <w:lang w:val="ru-RU" w:eastAsia="ru-RU"/>
              </w:rPr>
              <w:t>Р</w:t>
            </w:r>
            <w:r>
              <w:rPr>
                <w:rFonts w:ascii="Arial" w:hAnsi="Arial"/>
                <w:sz w:val="22"/>
                <w:szCs w:val="22"/>
              </w:rPr>
              <w:t>ешение о назначении (об отказе в назначении) выплаты.</w:t>
            </w:r>
          </w:p>
        </w:tc>
      </w:tr>
      <w:tr>
        <w:trPr>
          <w:trHeight w:val="760" w:hRule="atLeast"/>
        </w:trPr>
        <w:tc>
          <w:tcPr>
            <w:tcW w:w="285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Срок предоставления услуги</w:t>
            </w:r>
          </w:p>
        </w:tc>
        <w:tc>
          <w:tcPr>
            <w:tcW w:w="1199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198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 CYR" w:ascii="Arial" w:hAnsi="Arial"/>
                <w:b w:val="false"/>
                <w:bCs/>
                <w:color w:val="000000"/>
                <w:sz w:val="22"/>
                <w:szCs w:val="22"/>
                <w:shd w:fill="auto" w:val="clear"/>
                <w:lang w:eastAsia="ru-RU"/>
              </w:rPr>
              <w:t>11 к.д.</w:t>
            </w:r>
          </w:p>
          <w:p>
            <w:pPr>
              <w:pStyle w:val="Normal"/>
              <w:widowControl w:val="false"/>
              <w:spacing w:lineRule="auto" w:line="240" w:before="16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 CYR" w:ascii="Arial" w:hAnsi="Arial"/>
                <w:b w:val="false"/>
                <w:bCs/>
                <w:color w:val="000000"/>
                <w:sz w:val="22"/>
                <w:szCs w:val="22"/>
                <w:shd w:fill="auto" w:val="clear"/>
                <w:lang w:eastAsia="ru-RU"/>
              </w:rPr>
              <w:t>Срок обращения за государственной услугой - не позднее 3 месяцев со дня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</w:t>
            </w:r>
          </w:p>
        </w:tc>
      </w:tr>
      <w:tr>
        <w:trPr/>
        <w:tc>
          <w:tcPr>
            <w:tcW w:w="285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199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16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lang w:val="ru-RU" w:eastAsia="ru-RU"/>
              </w:rPr>
              <w:t>нет</w:t>
            </w:r>
          </w:p>
        </w:tc>
      </w:tr>
      <w:tr>
        <w:trPr/>
        <w:tc>
          <w:tcPr>
            <w:tcW w:w="285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1199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>бесплатно</w:t>
            </w:r>
          </w:p>
        </w:tc>
      </w:tr>
      <w:tr>
        <w:trPr/>
        <w:tc>
          <w:tcPr>
            <w:tcW w:w="285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199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16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 CYR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>-</w:t>
            </w:r>
          </w:p>
        </w:tc>
      </w:tr>
      <w:tr>
        <w:trPr>
          <w:trHeight w:val="1065" w:hRule="atLeast"/>
        </w:trPr>
        <w:tc>
          <w:tcPr>
            <w:tcW w:w="285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Административный регламент</w:t>
            </w:r>
            <w:bookmarkStart w:id="2" w:name="_GoBack"/>
            <w:bookmarkEnd w:id="2"/>
          </w:p>
        </w:tc>
        <w:tc>
          <w:tcPr>
            <w:tcW w:w="1199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left"/>
              <w:rPr>
                <w:b w:val="false"/>
                <w:bCs w:val="false"/>
              </w:rPr>
            </w:pPr>
            <w:r>
              <w:rPr>
                <w:rFonts w:eastAsia="Times New Roman" w:cs="Arial CYR" w:ascii="Arial" w:hAnsi="Arial"/>
                <w:b w:val="false"/>
                <w:bCs w:val="false"/>
                <w:color w:val="000000"/>
                <w:sz w:val="22"/>
                <w:szCs w:val="22"/>
                <w:lang w:eastAsia="ru-RU"/>
              </w:rPr>
              <w:t xml:space="preserve">Приказ Департамента социальной политики Курганской области от 18 июня 2026 г. N 170/Пр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Об утверждении административных регламентов предоставления государственных услуг по назначению единовременных денежных выплат гражданам, пострадавшим в результате чрезвычайной ситуации природного и техногенного характера.</w:t>
            </w:r>
          </w:p>
        </w:tc>
      </w:tr>
    </w:tbl>
    <w:p>
      <w:pPr>
        <w:pStyle w:val="Normal"/>
        <w:spacing w:before="0" w:after="200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-converted-space" w:customStyle="1">
    <w:name w:val="apple-converted-space"/>
    <w:basedOn w:val="DefaultParagraphFont"/>
    <w:qFormat/>
    <w:rsid w:val="001e7b89"/>
    <w:rPr/>
  </w:style>
  <w:style w:type="character" w:styleId="-">
    <w:name w:val="Hyperlink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Style20">
    <w:name w:val="Содержимое таблицы"/>
    <w:basedOn w:val="Normal"/>
    <w:qFormat/>
    <w:pPr/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Liberation Sans" w:hAnsi="Liberation Sans" w:eastAsia="Calibri" w:cs=""/>
      <w:color w:val="000000"/>
      <w:kern w:val="0"/>
      <w:sz w:val="24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urgan-city.ru/gosserv/for/488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Application>LibreOffice/7.5.3.2$Windows_X86_64 LibreOffice_project/9f56dff12ba03b9acd7730a5a481eea045e468f3</Application>
  <AppVersion>15.0000</AppVersion>
  <Pages>2</Pages>
  <Words>311</Words>
  <Characters>2370</Characters>
  <CharactersWithSpaces>2651</CharactersWithSpaces>
  <Paragraphs>30</Paragraphs>
  <Company>КонсультантПлюс Версия 4025.00.02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2026-06-18T07:19:00Z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2026-07-08T14:38:16Z</dcterms:modified>
  <cp:revision>88</cp:revision>
  <dc:subject/>
  <dc:title>Постановление Правительства РФ от 21.12.2023 N 2227"Об отдельных вопросах предоставления лицам, указанным в пункте 1 статьи 8.1 Федерального закона "О дополнительных гарантиях по социальной поддержке детей-сирот и детей, оставшихся без попечения родителей",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ипотекой"(вместе с "Правилами подачи и рассмотрения заявления на предоставлен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