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0475BE" w:rsidRPr="000475BE" w:rsidRDefault="000475BE" w:rsidP="000475BE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Заявителем на получение муниципальной услуги является один из родителей (законных представителей) детей, посещающих образовательные организации, реализующие образовательную программу дошкольного образования)</w:t>
            </w:r>
            <w:r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внесший родительскую плату (или поручивший ее внести третьему лицу) за присмотр и уход за детьми в соответствующую образовательную организацию, в семьях, среднедушевой доход которых ниже величины прожиточного минимума на душу населения, установленной в Курганской области.</w:t>
            </w:r>
            <w:proofErr w:type="gramEnd"/>
          </w:p>
          <w:p w:rsidR="000475BE" w:rsidRP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Заявителем может быть:</w:t>
            </w:r>
          </w:p>
          <w:p w:rsidR="000475BE" w:rsidRP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гражданин Российской Федерации;</w:t>
            </w:r>
          </w:p>
          <w:p w:rsidR="007D3A6E" w:rsidRPr="00130413" w:rsidRDefault="000475BE" w:rsidP="000475BE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иностранный гражданин или лицо без гражданства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75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75BE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  <w:sz w:val="24"/>
                <w:szCs w:val="24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Далматовского муниципального округа Курганской области</w:t>
            </w:r>
            <w:r w:rsidRPr="001C342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  <w:tr w:rsidR="007D3A6E" w:rsidTr="000475BE">
        <w:trPr>
          <w:trHeight w:val="310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B7BD4" w:rsidRDefault="000475BE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/>
                <w:sz w:val="23"/>
                <w:szCs w:val="23"/>
              </w:rPr>
            </w:pPr>
            <w:r>
              <w:rPr>
                <w:rFonts w:ascii="Liberation Sans" w:hAnsi="Liberation Sans"/>
                <w:sz w:val="23"/>
                <w:szCs w:val="23"/>
              </w:rPr>
              <w:t xml:space="preserve">1) </w:t>
            </w:r>
            <w:r w:rsidR="00AD2B38" w:rsidRPr="005259A6">
              <w:rPr>
                <w:rFonts w:ascii="Liberation Sans" w:hAnsi="Liberation Sans"/>
                <w:sz w:val="23"/>
                <w:szCs w:val="23"/>
              </w:rPr>
              <w:t>Заявление о прекращении</w:t>
            </w:r>
            <w:r w:rsidR="00AD2B38">
              <w:rPr>
                <w:rFonts w:ascii="Liberation Sans" w:hAnsi="Liberation Sans"/>
                <w:sz w:val="23"/>
                <w:szCs w:val="23"/>
              </w:rPr>
              <w:t xml:space="preserve"> права</w:t>
            </w:r>
          </w:p>
          <w:p w:rsidR="006D73AB" w:rsidRDefault="000475BE" w:rsidP="004F3D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 xml:space="preserve">2) </w:t>
            </w:r>
            <w:r w:rsidR="00AD2B38" w:rsidRPr="007A5C68"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>Д</w:t>
            </w:r>
            <w:r w:rsidR="00AD2B38" w:rsidRPr="005259A6">
              <w:rPr>
                <w:rFonts w:ascii="Liberation Sans" w:hAnsi="Liberation Sans" w:cs="Times New Roman"/>
                <w:sz w:val="23"/>
                <w:szCs w:val="23"/>
              </w:rPr>
              <w:t>окумент, удостоверяющий личность заявителя, его законного либо уполномоченного представителя</w:t>
            </w:r>
          </w:p>
          <w:p w:rsid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</w:pPr>
            <w:r w:rsidRPr="00F827A4">
              <w:rPr>
                <w:rFonts w:ascii="Liberation Sans" w:hAnsi="Liberation Sans" w:cs="Arial"/>
                <w:color w:val="000000"/>
                <w:sz w:val="24"/>
                <w:szCs w:val="24"/>
              </w:rPr>
              <w:t>3) документ, подтверждающий, что заявитель является законным представителем ребенка (при личном обращении)</w:t>
            </w:r>
          </w:p>
          <w:p w:rsidR="000475BE" w:rsidRP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4) </w:t>
            </w:r>
            <w:r w:rsidRPr="000475BE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      </w:r>
          </w:p>
          <w:p w:rsidR="000475BE" w:rsidRP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475BE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5) справка с места учебы совершеннолетнего ребенка (детей) заявителя, подтверждающая </w:t>
            </w:r>
            <w:proofErr w:type="gramStart"/>
            <w:r w:rsidRPr="000475BE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обучение по</w:t>
            </w:r>
            <w:proofErr w:type="gramEnd"/>
            <w:r w:rsidRPr="000475BE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очной форме в образовательной организации любого типа</w:t>
            </w: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      </w:r>
          </w:p>
          <w:p w:rsidR="000475BE" w:rsidRP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6) справка, подтверждающая, что среднедушевой доход семьи не превышает величину прожиточного минимума</w:t>
            </w:r>
            <w:r w:rsidRPr="000475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на душу населения, установленную в Курганской области (далее - справка о среднедушевом доходе). Справка о среднедушевом доходе выдается органом социальной защиты населения Курганской области (подведомственными ему учреждениями).</w:t>
            </w:r>
          </w:p>
          <w:p w:rsidR="000475BE" w:rsidRP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В последующем справка о среднедушевом доходе предоставляется родителем (законным представителем) ежегодно в период с 1 августа по 15 сентября;</w:t>
            </w:r>
          </w:p>
          <w:p w:rsidR="000475BE" w:rsidRP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Порядок выдачи </w:t>
            </w:r>
            <w:bookmarkStart w:id="0" w:name="_GoBack"/>
            <w:bookmarkEnd w:id="0"/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справки о среднедушевом доходе устанавливается Правительством Курганской области.</w:t>
            </w:r>
          </w:p>
          <w:p w:rsidR="000475BE" w:rsidRP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7) согласие лиц, указанных в заявлении, на обработку их персональных данных (при личном обращении);</w:t>
            </w:r>
          </w:p>
          <w:p w:rsidR="000475BE" w:rsidRP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8) 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      </w:r>
          </w:p>
          <w:p w:rsidR="000475BE" w:rsidRP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9) 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государства).</w:t>
            </w:r>
          </w:p>
          <w:p w:rsidR="000475BE" w:rsidRPr="004F3D38" w:rsidRDefault="000475BE" w:rsidP="000475B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</w:p>
          <w:p w:rsidR="004F3D38" w:rsidRPr="004F3D38" w:rsidRDefault="004F3D38" w:rsidP="005F1775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0475BE">
        <w:trPr>
          <w:trHeight w:val="888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0475BE" w:rsidRPr="000475BE" w:rsidRDefault="000475BE" w:rsidP="000475BE">
            <w:pPr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1) решение о предоставлении муниципальной услуги;</w:t>
            </w:r>
          </w:p>
          <w:p w:rsidR="000475BE" w:rsidRPr="000475BE" w:rsidRDefault="000475BE" w:rsidP="000475BE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475BE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2) решение об отказе в предоставлении муниципальной услуги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  <w:p w:rsidR="005F1775" w:rsidRPr="00AD2B38" w:rsidRDefault="005F1775" w:rsidP="005F1775">
            <w:pPr>
              <w:widowControl w:val="0"/>
              <w:tabs>
                <w:tab w:val="left" w:pos="1102"/>
              </w:tabs>
              <w:suppressAutoHyphens/>
              <w:spacing w:after="30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</w:pP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75BE" w:rsidP="005F17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6 рабочих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0475B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7391F">
              <w:rPr>
                <w:rFonts w:ascii="Arial" w:hAnsi="Arial" w:cs="Arial"/>
                <w:sz w:val="24"/>
                <w:szCs w:val="24"/>
              </w:rPr>
              <w:t>а от 1</w:t>
            </w:r>
            <w:r w:rsidR="000475BE">
              <w:rPr>
                <w:rFonts w:ascii="Arial" w:hAnsi="Arial" w:cs="Arial"/>
                <w:sz w:val="24"/>
                <w:szCs w:val="24"/>
              </w:rPr>
              <w:t>4 сентября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F3D38">
              <w:rPr>
                <w:rFonts w:ascii="Arial" w:hAnsi="Arial" w:cs="Arial"/>
                <w:sz w:val="24"/>
                <w:szCs w:val="24"/>
              </w:rPr>
              <w:t>3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0475BE">
              <w:rPr>
                <w:rFonts w:ascii="Arial" w:hAnsi="Arial" w:cs="Arial"/>
                <w:sz w:val="24"/>
                <w:szCs w:val="24"/>
              </w:rPr>
              <w:t>492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75BE" w:rsidRPr="000475BE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0475BE" w:rsidRPr="000475BE">
              <w:rPr>
                <w:rFonts w:ascii="Arial" w:hAnsi="Arial" w:cs="Arial"/>
                <w:sz w:val="24"/>
                <w:szCs w:val="24"/>
              </w:rPr>
              <w:t>б утверждении административ</w:t>
            </w:r>
            <w:r w:rsidR="000475BE">
              <w:rPr>
                <w:rFonts w:ascii="Arial" w:hAnsi="Arial" w:cs="Arial"/>
                <w:sz w:val="24"/>
                <w:szCs w:val="24"/>
              </w:rPr>
              <w:t xml:space="preserve">ного регламента предоставления </w:t>
            </w:r>
            <w:r w:rsidR="000475BE" w:rsidRPr="000475BE">
              <w:rPr>
                <w:rFonts w:ascii="Arial" w:hAnsi="Arial" w:cs="Arial"/>
                <w:sz w:val="24"/>
                <w:szCs w:val="24"/>
              </w:rPr>
              <w:t>муниципальной услуги «Выплата компе</w:t>
            </w:r>
            <w:r w:rsidR="000475BE">
              <w:rPr>
                <w:rFonts w:ascii="Arial" w:hAnsi="Arial" w:cs="Arial"/>
                <w:sz w:val="24"/>
                <w:szCs w:val="24"/>
              </w:rPr>
              <w:t xml:space="preserve">нсации части родительской платы </w:t>
            </w:r>
            <w:r w:rsidR="000475BE" w:rsidRPr="000475BE">
              <w:rPr>
                <w:rFonts w:ascii="Arial" w:hAnsi="Arial" w:cs="Arial"/>
                <w:sz w:val="24"/>
                <w:szCs w:val="24"/>
              </w:rPr>
              <w:t>за присмотр и уход за детьми в муниципальных образовательных организациях, находящихся на территории Далматовского муниципального округа Курганской области»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CE19E8"/>
    <w:multiLevelType w:val="multilevel"/>
    <w:tmpl w:val="145668E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2802"/>
    <w:rsid w:val="00034B4B"/>
    <w:rsid w:val="000475BE"/>
    <w:rsid w:val="00130413"/>
    <w:rsid w:val="0013306A"/>
    <w:rsid w:val="0014265B"/>
    <w:rsid w:val="00392F4E"/>
    <w:rsid w:val="003A00E7"/>
    <w:rsid w:val="00401F65"/>
    <w:rsid w:val="004F3D38"/>
    <w:rsid w:val="005F1775"/>
    <w:rsid w:val="00615E32"/>
    <w:rsid w:val="006D73AB"/>
    <w:rsid w:val="007C3829"/>
    <w:rsid w:val="007D3A6E"/>
    <w:rsid w:val="007F5565"/>
    <w:rsid w:val="00877CDF"/>
    <w:rsid w:val="0097391F"/>
    <w:rsid w:val="009A10E3"/>
    <w:rsid w:val="009B7BD4"/>
    <w:rsid w:val="00AD2B38"/>
    <w:rsid w:val="00B750B8"/>
    <w:rsid w:val="00C90E73"/>
    <w:rsid w:val="00CA53EC"/>
    <w:rsid w:val="00CA75A7"/>
    <w:rsid w:val="00CF1783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59</cp:revision>
  <cp:lastPrinted>2018-08-08T10:10:00Z</cp:lastPrinted>
  <dcterms:created xsi:type="dcterms:W3CDTF">2018-05-28T04:16:00Z</dcterms:created>
  <dcterms:modified xsi:type="dcterms:W3CDTF">2024-03-06T09:47:00Z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