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00"/>
        <w:gridCol w:w="12362"/>
      </w:tblGrid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 w:eastAsia="ar-SA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>
          <w:trHeight w:val="433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Администрация </w:t>
            </w: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Альменевского</w:t>
            </w: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 муниципального округа Курганской области</w:t>
            </w:r>
          </w:p>
        </w:tc>
      </w:tr>
      <w:tr>
        <w:trPr>
          <w:trHeight w:val="1161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4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физические лица, юридические лица и индивидуальные предприниматели, являющиеся застройщиками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4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74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exact" w:line="322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PT Astra Sans" w:cs="PT Astra Sans" w:ascii="Arial;Helvetica;sans-serif" w:hAnsi="Arial;Helvetica;sans-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Отдел ЖКХ, архитектуры и строительства </w:t>
            </w: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Администрации </w:t>
            </w: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Альменевского</w:t>
            </w: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 муниципального округа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PT Astra Sans" w:cs="PT Astra Sans"/>
                <w:color w:val="auto"/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 xml:space="preserve">Заявителями при обращении за получением услуги являются </w:t>
            </w:r>
            <w:r>
              <w:rPr>
                <w:rFonts w:eastAsia="PT Astra Sans" w:cs="PT Astra Sans"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застройщики.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Заявитель вправе обратиться за получением услуги через представителя.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95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а) уведомление о сносе;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3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б) документ, удостоверяющий личность заявителя или представителя заявителя;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0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994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0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д) 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99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е) проект организации работ по сносу объекта капитального строительства (в случае направления уведомления о сносе);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7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ж) уведомление о завершении сноса.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Заявитель вправе представить по собственной инициативе: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363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35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недвижимости);</w:t>
            </w:r>
          </w:p>
          <w:p>
            <w:pPr>
              <w:pStyle w:val="NoSpacing"/>
              <w:widowControl w:val="false"/>
              <w:shd w:fill="FFFFFF"/>
              <w:tabs>
                <w:tab w:val="clear" w:pos="708"/>
                <w:tab w:val="left" w:pos="135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в) решение суда о сносе объекта капитального строительства;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11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2"/>
                <w:szCs w:val="22"/>
                <w:shd w:fill="auto" w:val="clear"/>
              </w:rPr>
              <w:t>г) решение органа местного самоуправления о сносе объекта капитального строительства.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shd w:fill="auto" w:val="clear"/>
              </w:rPr>
              <w:t>В случае обращения за подуслугой «Направление уведомления о планируемом сносе объекта капитального строительства»: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shd w:fill="auto" w:val="clear"/>
              </w:rPr>
              <w:t>1)</w:t>
              <w:tab/>
              <w:t>извещение о приеме уведомления о планируемом сносе объекта капитального строительства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2)</w:t>
              <w:tab/>
              <w:t>отказ в предоставлении услуги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В случае обращения за подуслугой «Направление уведомления о завершении сноса объекта капитального строительства»: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1)</w:t>
              <w:tab/>
              <w:t>извещение о приеме уведомления о завершении сноса объекта капитального строительства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2)</w:t>
              <w:tab/>
              <w:t>отказ в предоставлении услуги</w:t>
            </w:r>
          </w:p>
        </w:tc>
      </w:tr>
      <w:tr>
        <w:trPr>
          <w:trHeight w:val="577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 w:before="0" w:after="0"/>
              <w:ind w:left="0" w:right="0" w:hanging="0"/>
              <w:jc w:val="left"/>
              <w:rPr>
                <w:rFonts w:ascii="Arial" w:hAnsi="Arial" w:cs="Arial;sans-serif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cs="Arial;sans-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7 рабочих дней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4) представление неполного комплекта документов, необходимых для предоставления услуги</w:t>
            </w:r>
          </w:p>
        </w:tc>
      </w:tr>
      <w:tr>
        <w:trPr>
          <w:trHeight w:val="523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Муниципальная услуга оказывается бесплатно</w:t>
            </w:r>
          </w:p>
        </w:tc>
      </w:tr>
      <w:tr>
        <w:trPr>
          <w:trHeight w:val="1090" w:hRule="atLeast"/>
        </w:trPr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</w:tr>
      <w:tr>
        <w:trPr/>
        <w:tc>
          <w:tcPr>
            <w:tcW w:w="30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3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 xml:space="preserve">Постановление Администрации </w:t>
            </w: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eastAsia="zh-CN"/>
              </w:rPr>
              <w:t>Альменевского муниципального округа Курганской области от 22.08.2022 г. № 286    «Об утверждении Административного регламента предоставления Администрацией Альменевского муниципального округа Курганской области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Альменевского муниципального округа Курганской области»</w:t>
            </w:r>
          </w:p>
        </w:tc>
      </w:tr>
      <w:tr>
        <w:trPr/>
        <w:tc>
          <w:tcPr>
            <w:tcW w:w="30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  <w:t>Контакты органа</w:t>
            </w:r>
          </w:p>
        </w:tc>
        <w:tc>
          <w:tcPr>
            <w:tcW w:w="123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Альменевского муниципального округа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—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А.В. Снежко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641130, Курганская обл., М.О. Альменевский, с. Альменево,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пл. Комсомола, д. 1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Тел. 8(352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)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42-84-45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Электронный адрес: 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45t0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20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02@kurganobl.ru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680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73">
    <w:name w:val="Основной текст (7)3"/>
    <w:qFormat/>
    <w:rPr/>
  </w:style>
  <w:style w:type="character" w:styleId="Style15">
    <w:name w:val="Основной текст + Курсив"/>
    <w:qFormat/>
    <w:rPr>
      <w:b/>
      <w:i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 Unicode MS" w:hAnsi="Arial Unicode MS" w:eastAsia="Arial Unicode MS" w:cs="Liberation Serif"/>
      <w:color w:val="000000"/>
      <w:kern w:val="2"/>
      <w:sz w:val="24"/>
      <w:szCs w:val="24"/>
      <w:lang w:val="ru-RU" w:eastAsia="ar-SA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LibreOffice/7.0.0.3$Windows_X86_64 LibreOffice_project/8061b3e9204bef6b321a21033174034a5e2ea88e</Application>
  <Pages>3</Pages>
  <Words>496</Words>
  <Characters>3949</Characters>
  <CharactersWithSpaces>4399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2024-02-13T13:50:14Z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