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3000"/>
        <w:gridCol w:w="12362"/>
      </w:tblGrid>
      <w:tr>
        <w:trPr/>
        <w:tc>
          <w:tcPr>
            <w:tcW w:w="3000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36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73"/>
                <w:rFonts w:eastAsia="PT Astra Sans" w:cs="PT Astra Sans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  <w:shd w:fill="auto" w:val="clear"/>
                <w:lang w:val="ru-RU" w:eastAsia="ar-SA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>
        <w:trPr>
          <w:trHeight w:val="433" w:hRule="atLeast"/>
        </w:trPr>
        <w:tc>
          <w:tcPr>
            <w:tcW w:w="3000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36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8"/>
              <w:widowControl w:val="false"/>
              <w:shd w:fill="FFFFFF"/>
              <w:tabs>
                <w:tab w:val="clear" w:pos="708"/>
                <w:tab w:val="left" w:pos="1076" w:leader="none"/>
              </w:tabs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5"/>
                <w:rFonts w:eastAsia="PT Astra Sans" w:cs="PT Astra Sans"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shd w:fill="auto" w:val="clear"/>
              </w:rPr>
              <w:t xml:space="preserve">Администрация </w:t>
            </w:r>
            <w:r>
              <w:rPr>
                <w:rStyle w:val="Style15"/>
                <w:rFonts w:eastAsia="PT Astra Sans" w:cs="PT Astra Sans" w:ascii="Arial" w:hAnsi="Arial"/>
                <w:b w:val="false"/>
                <w:bCs w:val="false"/>
                <w:i w:val="false"/>
                <w:iCs w:val="false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>Альменевского</w:t>
            </w:r>
            <w:r>
              <w:rPr>
                <w:rStyle w:val="Style15"/>
                <w:rFonts w:eastAsia="PT Astra Sans" w:cs="PT Astra Sans"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shd w:fill="auto" w:val="clear"/>
              </w:rPr>
              <w:t xml:space="preserve"> муниципального округа Курганской области</w:t>
            </w:r>
          </w:p>
        </w:tc>
      </w:tr>
      <w:tr>
        <w:trPr>
          <w:trHeight w:val="1161" w:hRule="atLeast"/>
        </w:trPr>
        <w:tc>
          <w:tcPr>
            <w:tcW w:w="3000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36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8"/>
              <w:widowControl w:val="false"/>
              <w:shd w:fill="FFFFFF"/>
              <w:tabs>
                <w:tab w:val="clear" w:pos="708"/>
                <w:tab w:val="left" w:pos="1446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eastAsia="PT Astra Sans" w:cs="PT Astra Sans" w:ascii="Arial" w:hAnsi="Arial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- физические лица, юридические лица и индивидуальные предприниматели, являющиеся застройщиками</w:t>
            </w:r>
          </w:p>
          <w:p>
            <w:pPr>
              <w:pStyle w:val="Style18"/>
              <w:widowControl w:val="false"/>
              <w:shd w:fill="FFFFFF"/>
              <w:tabs>
                <w:tab w:val="clear" w:pos="708"/>
                <w:tab w:val="left" w:pos="1446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color w:val="auto"/>
                <w:sz w:val="22"/>
                <w:szCs w:val="22"/>
              </w:rPr>
            </w:pPr>
            <w:r>
              <w:rPr>
                <w:rFonts w:eastAsia="PT Astra Sans" w:cs="PT Astra Sans" w:ascii="Arial" w:hAnsi="Arial"/>
                <w:color w:val="000000"/>
                <w:sz w:val="22"/>
                <w:szCs w:val="22"/>
                <w:shd w:fill="auto" w:val="clear"/>
              </w:rPr>
      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      </w:r>
          </w:p>
        </w:tc>
      </w:tr>
      <w:tr>
        <w:trPr>
          <w:trHeight w:val="774" w:hRule="atLeast"/>
        </w:trPr>
        <w:tc>
          <w:tcPr>
            <w:tcW w:w="3000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36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8"/>
              <w:widowControl w:val="false"/>
              <w:shd w:fill="FFFFFF"/>
              <w:tabs>
                <w:tab w:val="clear" w:pos="708"/>
                <w:tab w:val="left" w:pos="1076" w:leader="none"/>
              </w:tabs>
              <w:bidi w:val="0"/>
              <w:spacing w:lineRule="exact" w:line="322" w:before="0" w:after="0"/>
              <w:ind w:left="0" w:right="0" w:hanging="0"/>
              <w:jc w:val="both"/>
              <w:rPr/>
            </w:pPr>
            <w:r>
              <w:rPr>
                <w:rStyle w:val="Style15"/>
                <w:rFonts w:eastAsia="PT Astra Sans" w:cs="PT Astra Sans" w:ascii="Arial;Helvetica;sans-serif" w:hAnsi="Arial;Helvetic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2"/>
                <w:szCs w:val="22"/>
                <w:shd w:fill="auto" w:val="clear"/>
              </w:rPr>
              <w:t xml:space="preserve">Отдел ЖКХ, архитектуры и строительства </w:t>
            </w:r>
            <w:r>
              <w:rPr>
                <w:rStyle w:val="Style15"/>
                <w:rFonts w:eastAsia="PT Astra Sans" w:cs="PT Astra Sans"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shd w:fill="auto" w:val="clear"/>
              </w:rPr>
              <w:t xml:space="preserve">Администрации </w:t>
            </w:r>
            <w:r>
              <w:rPr>
                <w:rStyle w:val="Style15"/>
                <w:rFonts w:eastAsia="PT Astra Sans" w:cs="PT Astra Sans" w:ascii="Arial" w:hAnsi="Arial"/>
                <w:b w:val="false"/>
                <w:bCs w:val="false"/>
                <w:i w:val="false"/>
                <w:iCs w:val="false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>Альменевского</w:t>
            </w:r>
            <w:r>
              <w:rPr>
                <w:rStyle w:val="Style15"/>
                <w:rFonts w:eastAsia="PT Astra Sans" w:cs="PT Astra Sans"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shd w:fill="auto" w:val="clear"/>
              </w:rPr>
              <w:t xml:space="preserve"> муниципального округа</w:t>
            </w:r>
          </w:p>
        </w:tc>
      </w:tr>
      <w:tr>
        <w:trPr/>
        <w:tc>
          <w:tcPr>
            <w:tcW w:w="3000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Заявители</w:t>
            </w:r>
          </w:p>
        </w:tc>
        <w:tc>
          <w:tcPr>
            <w:tcW w:w="1236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8"/>
              <w:widowControl w:val="false"/>
              <w:shd w:fill="FFFFFF"/>
              <w:tabs>
                <w:tab w:val="clear" w:pos="708"/>
                <w:tab w:val="left" w:pos="0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 w:eastAsia="PT Astra Sans" w:cs="PT Astra Sans"/>
                <w:color w:val="auto"/>
                <w:sz w:val="22"/>
                <w:szCs w:val="22"/>
              </w:rPr>
            </w:pPr>
            <w:r>
              <w:rPr>
                <w:rFonts w:eastAsia="PT Astra Sans" w:cs="PT Astra Sans" w:ascii="Arial" w:hAnsi="Arial"/>
                <w:color w:val="000000"/>
                <w:sz w:val="22"/>
                <w:szCs w:val="22"/>
                <w:shd w:fill="auto" w:val="clear"/>
              </w:rPr>
              <w:t xml:space="preserve">Заявителями при обращении за получением услуги являются </w:t>
            </w:r>
            <w:r>
              <w:rPr>
                <w:rFonts w:eastAsia="PT Astra Sans" w:cs="PT Astra Sans" w:ascii="Arial" w:hAnsi="Arial"/>
                <w:b/>
                <w:bCs/>
                <w:color w:val="000000"/>
                <w:sz w:val="22"/>
                <w:szCs w:val="22"/>
                <w:shd w:fill="auto" w:val="clear"/>
              </w:rPr>
              <w:t>застройщики.</w:t>
            </w:r>
          </w:p>
          <w:p>
            <w:pPr>
              <w:pStyle w:val="Style18"/>
              <w:widowControl w:val="false"/>
              <w:shd w:fill="FFFFFF"/>
              <w:tabs>
                <w:tab w:val="clear" w:pos="708"/>
                <w:tab w:val="left" w:pos="0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 w:cs="PT Astra Sans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eastAsia="PT Astra Sans" w:cs="PT Astra Sans" w:ascii="Arial" w:hAnsi="Arial"/>
                <w:color w:val="000000"/>
                <w:sz w:val="22"/>
                <w:szCs w:val="22"/>
                <w:shd w:fill="auto" w:val="clear"/>
              </w:rPr>
              <w:t>Заявитель вправе обратиться за получением услуги через представителя.</w:t>
            </w:r>
          </w:p>
        </w:tc>
      </w:tr>
      <w:tr>
        <w:trPr/>
        <w:tc>
          <w:tcPr>
            <w:tcW w:w="3000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36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8"/>
              <w:widowControl w:val="false"/>
              <w:shd w:fill="FFFFFF"/>
              <w:tabs>
                <w:tab w:val="clear" w:pos="708"/>
                <w:tab w:val="left" w:pos="1095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 w:cs="PT Astra Sans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eastAsia="PT Astra Sans" w:cs="PT Astra Sans" w:ascii="Arial" w:hAnsi="Arial"/>
                <w:bCs/>
                <w:color w:val="000000"/>
                <w:sz w:val="22"/>
                <w:szCs w:val="22"/>
                <w:shd w:fill="auto" w:val="clear"/>
              </w:rPr>
              <w:t>а) уведомление о сносе;</w:t>
            </w:r>
          </w:p>
          <w:p>
            <w:pPr>
              <w:pStyle w:val="Style18"/>
              <w:widowControl w:val="false"/>
              <w:shd w:fill="FFFFFF"/>
              <w:tabs>
                <w:tab w:val="clear" w:pos="708"/>
                <w:tab w:val="left" w:pos="1038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eastAsia="PT Astra Sans" w:cs="PT Astra Sans" w:ascii="Arial" w:hAnsi="Arial"/>
                <w:bCs/>
                <w:color w:val="000000"/>
                <w:sz w:val="22"/>
                <w:szCs w:val="22"/>
                <w:shd w:fill="auto" w:val="clear"/>
              </w:rPr>
              <w:t>б) документ, удостоверяющий личность заявителя или представителя заявителя;</w:t>
            </w:r>
          </w:p>
          <w:p>
            <w:pPr>
              <w:pStyle w:val="Style18"/>
              <w:widowControl w:val="false"/>
              <w:shd w:fill="FFFFFF"/>
              <w:tabs>
                <w:tab w:val="clear" w:pos="708"/>
                <w:tab w:val="left" w:pos="1008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eastAsia="PT Astra Sans" w:cs="PT Astra Sans" w:ascii="Arial" w:hAnsi="Arial"/>
                <w:bCs/>
                <w:color w:val="000000"/>
                <w:sz w:val="22"/>
                <w:szCs w:val="22"/>
                <w:shd w:fill="auto" w:val="clear"/>
              </w:rPr>
      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заявителя);</w:t>
            </w:r>
          </w:p>
          <w:p>
            <w:pPr>
              <w:pStyle w:val="Style18"/>
              <w:widowControl w:val="false"/>
              <w:shd w:fill="FFFFFF"/>
              <w:tabs>
                <w:tab w:val="clear" w:pos="708"/>
                <w:tab w:val="left" w:pos="994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eastAsia="PT Astra Sans" w:cs="PT Astra Sans" w:ascii="Arial" w:hAnsi="Arial"/>
                <w:bCs/>
                <w:color w:val="000000"/>
                <w:sz w:val="22"/>
                <w:szCs w:val="22"/>
                <w:shd w:fill="auto" w:val="clear"/>
              </w:rPr>
              <w:t>г)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      </w:r>
          </w:p>
          <w:p>
            <w:pPr>
              <w:pStyle w:val="Style18"/>
              <w:widowControl w:val="false"/>
              <w:shd w:fill="FFFFFF"/>
              <w:tabs>
                <w:tab w:val="clear" w:pos="708"/>
                <w:tab w:val="left" w:pos="1008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eastAsia="PT Astra Sans" w:cs="PT Astra Sans" w:ascii="Arial" w:hAnsi="Arial"/>
                <w:bCs/>
                <w:color w:val="000000"/>
                <w:sz w:val="22"/>
                <w:szCs w:val="22"/>
                <w:shd w:fill="auto" w:val="clear"/>
              </w:rPr>
              <w:t>д) результаты и материалы обследования объекта капитального строительства (в случае направления уведомления о сносе);</w:t>
            </w:r>
          </w:p>
          <w:p>
            <w:pPr>
              <w:pStyle w:val="Style18"/>
              <w:widowControl w:val="false"/>
              <w:shd w:fill="FFFFFF"/>
              <w:tabs>
                <w:tab w:val="clear" w:pos="708"/>
                <w:tab w:val="left" w:pos="998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eastAsia="PT Astra Sans" w:cs="PT Astra Sans" w:ascii="Arial" w:hAnsi="Arial"/>
                <w:bCs/>
                <w:color w:val="000000"/>
                <w:sz w:val="22"/>
                <w:szCs w:val="22"/>
                <w:shd w:fill="auto" w:val="clear"/>
              </w:rPr>
              <w:t>е) проект организации работ по сносу объекта капитального строительства (в случае направления уведомления о сносе);</w:t>
            </w:r>
          </w:p>
          <w:p>
            <w:pPr>
              <w:pStyle w:val="Style18"/>
              <w:widowControl w:val="false"/>
              <w:shd w:fill="FFFFFF"/>
              <w:tabs>
                <w:tab w:val="clear" w:pos="708"/>
                <w:tab w:val="left" w:pos="1070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eastAsia="PT Astra Sans" w:cs="PT Astra Sans" w:ascii="Arial" w:hAnsi="Arial"/>
                <w:bCs/>
                <w:color w:val="000000"/>
                <w:sz w:val="22"/>
                <w:szCs w:val="22"/>
                <w:shd w:fill="auto" w:val="clear"/>
              </w:rPr>
              <w:t>ж) уведомление о завершении сноса.</w:t>
            </w:r>
          </w:p>
        </w:tc>
      </w:tr>
      <w:tr>
        <w:trPr/>
        <w:tc>
          <w:tcPr>
            <w:tcW w:w="3000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Необязательные документы</w:t>
            </w:r>
          </w:p>
        </w:tc>
        <w:tc>
          <w:tcPr>
            <w:tcW w:w="1236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8"/>
              <w:widowControl w:val="false"/>
              <w:shd w:fill="FFFFFF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 w:cs="PT Astra Sans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eastAsia="PT Astra Sans" w:cs="PT Astra Sans" w:ascii="Arial" w:hAnsi="Arial"/>
                <w:color w:val="000000"/>
                <w:sz w:val="22"/>
                <w:szCs w:val="22"/>
                <w:shd w:fill="auto" w:val="clear"/>
              </w:rPr>
              <w:t>Заявитель вправе представить по собственной инициативе:</w:t>
            </w:r>
          </w:p>
          <w:p>
            <w:pPr>
              <w:pStyle w:val="Style18"/>
              <w:widowControl w:val="false"/>
              <w:shd w:fill="FFFFFF"/>
              <w:tabs>
                <w:tab w:val="clear" w:pos="708"/>
                <w:tab w:val="left" w:pos="1363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 w:cs="PT Astra Sans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eastAsia="PT Astra Sans" w:cs="PT Astra Sans" w:ascii="Arial" w:hAnsi="Arial"/>
                <w:color w:val="000000"/>
                <w:sz w:val="22"/>
                <w:szCs w:val="22"/>
                <w:shd w:fill="auto" w:val="clear"/>
              </w:rPr>
      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      </w:r>
          </w:p>
          <w:p>
            <w:pPr>
              <w:pStyle w:val="Style18"/>
              <w:widowControl w:val="false"/>
              <w:shd w:fill="FFFFFF"/>
              <w:tabs>
                <w:tab w:val="clear" w:pos="708"/>
                <w:tab w:val="left" w:pos="1358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 w:cs="PT Astra Sans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eastAsia="PT Astra Sans" w:cs="PT Astra Sans" w:ascii="Arial" w:hAnsi="Arial"/>
                <w:color w:val="000000"/>
                <w:sz w:val="22"/>
                <w:szCs w:val="22"/>
                <w:shd w:fill="auto" w:val="clear"/>
              </w:rPr>
              <w:t>б) сведения из Единого государственного реестра недвижимости (в случае направления уведомлений по объектам недвижимости, права на которые зарегистрированы в Едином государственном реестре недвижимости);</w:t>
            </w:r>
          </w:p>
          <w:p>
            <w:pPr>
              <w:pStyle w:val="NoSpacing"/>
              <w:widowControl w:val="false"/>
              <w:shd w:fill="FFFFFF"/>
              <w:tabs>
                <w:tab w:val="clear" w:pos="708"/>
                <w:tab w:val="left" w:pos="1358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 w:cs="PT Astra Sans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eastAsia="PT Astra Sans" w:cs="PT Astra Sans" w:ascii="Arial" w:hAnsi="Arial"/>
                <w:color w:val="000000"/>
                <w:sz w:val="22"/>
                <w:szCs w:val="22"/>
                <w:shd w:fill="auto" w:val="clear"/>
              </w:rPr>
              <w:t>в) решение суда о сносе объекта капитального строительства;</w:t>
            </w:r>
          </w:p>
          <w:p>
            <w:pPr>
              <w:pStyle w:val="Style18"/>
              <w:widowControl w:val="false"/>
              <w:shd w:fill="FFFFFF"/>
              <w:tabs>
                <w:tab w:val="clear" w:pos="708"/>
                <w:tab w:val="left" w:pos="1411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 w:cs="PT Astra Sans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eastAsia="PT Astra Sans" w:cs="PT Astra Sans" w:ascii="Arial" w:hAnsi="Arial"/>
                <w:color w:val="000000"/>
                <w:sz w:val="22"/>
                <w:szCs w:val="22"/>
                <w:shd w:fill="auto" w:val="clear"/>
              </w:rPr>
              <w:t>г) решение органа местного самоуправления о сносе объекта капитального строительства.</w:t>
            </w:r>
          </w:p>
        </w:tc>
      </w:tr>
      <w:tr>
        <w:trPr/>
        <w:tc>
          <w:tcPr>
            <w:tcW w:w="3000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36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shd w:fill="auto" w:val="clear"/>
              </w:rPr>
              <w:t>В случае обращения за подуслугой «Направление уведомления о планируемом сносе объекта капитального строительства»: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  <w:shd w:fill="auto" w:val="clear"/>
              </w:rPr>
              <w:t>1)</w:t>
              <w:tab/>
              <w:t>извещение о приеме уведомления о планируемом сносе объекта капитального строительства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2"/>
                <w:shd w:fill="auto" w:val="clear"/>
              </w:rPr>
              <w:t>2)</w:t>
              <w:tab/>
              <w:t>отказ в предоставлении услуги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2"/>
                <w:shd w:fill="auto" w:val="clear"/>
              </w:rPr>
              <w:t>В случае обращения за подуслугой «Направление уведомления о завершении сноса объекта капитального строительства»: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2"/>
                <w:shd w:fill="auto" w:val="clear"/>
              </w:rPr>
              <w:t>1)</w:t>
              <w:tab/>
              <w:t>извещение о приеме уведомления о завершении сноса объекта капитального строительства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ascii="Arial" w:hAnsi="Arial"/>
                <w:bCs/>
                <w:color w:val="000000"/>
                <w:sz w:val="22"/>
                <w:szCs w:val="22"/>
                <w:shd w:fill="auto" w:val="clear"/>
              </w:rPr>
              <w:t>2)</w:t>
              <w:tab/>
              <w:t>отказ в предоставлении услуги</w:t>
            </w:r>
          </w:p>
        </w:tc>
      </w:tr>
      <w:tr>
        <w:trPr>
          <w:trHeight w:val="577" w:hRule="atLeast"/>
        </w:trPr>
        <w:tc>
          <w:tcPr>
            <w:tcW w:w="3000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36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 w:before="0" w:after="0"/>
              <w:ind w:left="0" w:right="0" w:hanging="0"/>
              <w:jc w:val="left"/>
              <w:rPr>
                <w:rFonts w:ascii="Arial" w:hAnsi="Arial" w:cs="Arial;sans-serif"/>
                <w:b w:val="false"/>
                <w:b w:val="false"/>
                <w:bCs w:val="false"/>
                <w:color w:val="auto"/>
                <w:sz w:val="22"/>
                <w:szCs w:val="22"/>
                <w:shd w:fill="auto" w:val="clear"/>
                <w:lang w:val="ru-RU"/>
              </w:rPr>
            </w:pPr>
            <w:r>
              <w:rPr>
                <w:rFonts w:cs="Arial;sans-serif" w:ascii="Arial" w:hAnsi="Arial"/>
                <w:b w:val="false"/>
                <w:bCs w:val="false"/>
                <w:color w:val="000000"/>
                <w:sz w:val="22"/>
                <w:szCs w:val="22"/>
                <w:shd w:fill="auto" w:val="clear"/>
                <w:lang w:val="ru-RU"/>
              </w:rPr>
              <w:t>7 рабочих дней</w:t>
            </w:r>
          </w:p>
        </w:tc>
      </w:tr>
      <w:tr>
        <w:trPr/>
        <w:tc>
          <w:tcPr>
            <w:tcW w:w="3000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36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8"/>
              <w:widowControl w:val="false"/>
              <w:shd w:fill="FFFFFF"/>
              <w:tabs>
                <w:tab w:val="clear" w:pos="708"/>
                <w:tab w:val="left" w:pos="1022" w:leader="none"/>
              </w:tabs>
              <w:bidi w:val="0"/>
              <w:spacing w:lineRule="auto" w:line="240" w:before="0" w:after="0"/>
              <w:ind w:left="0" w:right="282" w:hanging="0"/>
              <w:jc w:val="both"/>
              <w:rPr>
                <w:rFonts w:ascii="Arial" w:hAnsi="Arial" w:eastAsia="PT Astra Sans" w:cs="PT Astra Sans"/>
                <w:color w:val="auto"/>
                <w:kern w:val="0"/>
                <w:sz w:val="22"/>
                <w:szCs w:val="22"/>
                <w:shd w:fill="auto" w:val="clear"/>
                <w:lang w:val="ru-RU" w:eastAsia="en-US" w:bidi="ar-SA"/>
              </w:rPr>
            </w:pPr>
            <w:r>
              <w:rPr>
                <w:rFonts w:eastAsia="PT Astra Sans" w:cs="PT Astra Sans" w:ascii="Arial" w:hAnsi="Arial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>1) 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      </w:r>
          </w:p>
          <w:p>
            <w:pPr>
              <w:pStyle w:val="Style18"/>
              <w:widowControl w:val="false"/>
              <w:shd w:fill="FFFFFF"/>
              <w:tabs>
                <w:tab w:val="clear" w:pos="708"/>
                <w:tab w:val="left" w:pos="1022" w:leader="none"/>
              </w:tabs>
              <w:bidi w:val="0"/>
              <w:spacing w:lineRule="auto" w:line="240" w:before="0" w:after="0"/>
              <w:ind w:left="0" w:right="282" w:hanging="0"/>
              <w:jc w:val="both"/>
              <w:rPr>
                <w:rFonts w:ascii="Arial" w:hAnsi="Arial" w:eastAsia="PT Astra Sans" w:cs="PT Astra Sans"/>
                <w:color w:val="auto"/>
                <w:kern w:val="0"/>
                <w:sz w:val="22"/>
                <w:szCs w:val="22"/>
                <w:shd w:fill="auto" w:val="clear"/>
                <w:lang w:val="ru-RU" w:eastAsia="en-US" w:bidi="ar-SA"/>
              </w:rPr>
            </w:pPr>
            <w:r>
              <w:rPr>
                <w:rFonts w:eastAsia="PT Astra Sans" w:cs="PT Astra Sans" w:ascii="Arial" w:hAnsi="Arial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>2)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      </w:r>
          </w:p>
          <w:p>
            <w:pPr>
              <w:pStyle w:val="Style18"/>
              <w:widowControl w:val="false"/>
              <w:shd w:fill="FFFFFF"/>
              <w:tabs>
                <w:tab w:val="clear" w:pos="708"/>
                <w:tab w:val="left" w:pos="1022" w:leader="none"/>
              </w:tabs>
              <w:bidi w:val="0"/>
              <w:spacing w:lineRule="auto" w:line="240" w:before="0" w:after="0"/>
              <w:ind w:left="0" w:right="282" w:hanging="0"/>
              <w:jc w:val="both"/>
              <w:rPr>
                <w:rFonts w:ascii="Arial" w:hAnsi="Arial" w:eastAsia="PT Astra Sans" w:cs="PT Astra Sans"/>
                <w:color w:val="auto"/>
                <w:kern w:val="0"/>
                <w:sz w:val="22"/>
                <w:szCs w:val="22"/>
                <w:shd w:fill="auto" w:val="clear"/>
                <w:lang w:val="ru-RU" w:eastAsia="en-US" w:bidi="ar-SA"/>
              </w:rPr>
            </w:pPr>
            <w:r>
              <w:rPr>
                <w:rFonts w:eastAsia="PT Astra Sans" w:cs="PT Astra Sans" w:ascii="Arial" w:hAnsi="Arial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      </w:r>
          </w:p>
          <w:p>
            <w:pPr>
              <w:pStyle w:val="Style18"/>
              <w:widowControl w:val="false"/>
              <w:shd w:fill="FFFFFF"/>
              <w:tabs>
                <w:tab w:val="clear" w:pos="708"/>
                <w:tab w:val="left" w:pos="1022" w:leader="none"/>
              </w:tabs>
              <w:bidi w:val="0"/>
              <w:spacing w:lineRule="auto" w:line="240" w:before="0" w:after="0"/>
              <w:ind w:left="0" w:right="282" w:hanging="0"/>
              <w:jc w:val="both"/>
              <w:rPr>
                <w:rFonts w:ascii="Arial" w:hAnsi="Arial" w:eastAsia="PT Astra Sans" w:cs="PT Astra Sans"/>
                <w:color w:val="auto"/>
                <w:kern w:val="0"/>
                <w:sz w:val="22"/>
                <w:szCs w:val="22"/>
                <w:shd w:fill="auto" w:val="clear"/>
                <w:lang w:val="ru-RU" w:eastAsia="en-US" w:bidi="ar-SA"/>
              </w:rPr>
            </w:pPr>
            <w:r>
              <w:rPr>
                <w:rFonts w:eastAsia="PT Astra Sans" w:cs="PT Astra Sans" w:ascii="Arial" w:hAnsi="Arial"/>
                <w:color w:val="000000"/>
                <w:kern w:val="0"/>
                <w:sz w:val="22"/>
                <w:szCs w:val="22"/>
                <w:shd w:fill="auto" w:val="clear"/>
                <w:lang w:val="ru-RU" w:eastAsia="en-US" w:bidi="ar-SA"/>
              </w:rPr>
              <w:t>4) представление неполного комплекта документов, необходимых для предоставления услуги</w:t>
            </w:r>
          </w:p>
        </w:tc>
      </w:tr>
      <w:tr>
        <w:trPr>
          <w:trHeight w:val="523" w:hRule="atLeast"/>
        </w:trPr>
        <w:tc>
          <w:tcPr>
            <w:tcW w:w="3000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36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2"/>
                <w:szCs w:val="22"/>
                <w:shd w:fill="auto" w:val="clear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shd w:fill="auto" w:val="clear"/>
              </w:rPr>
              <w:t>Муниципальная услуга оказывается бесплатно</w:t>
            </w:r>
          </w:p>
        </w:tc>
      </w:tr>
      <w:tr>
        <w:trPr>
          <w:trHeight w:val="1090" w:hRule="atLeast"/>
        </w:trPr>
        <w:tc>
          <w:tcPr>
            <w:tcW w:w="3000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36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shd w:fill="auto" w:val="clear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shd w:fill="auto" w:val="clear"/>
                <w:lang w:eastAsia="ru-RU"/>
              </w:rPr>
              <w:t>Нет</w:t>
            </w:r>
          </w:p>
        </w:tc>
      </w:tr>
      <w:tr>
        <w:trPr/>
        <w:tc>
          <w:tcPr>
            <w:tcW w:w="3000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362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Calibri" w:cs="Arial" w:ascii="Arial" w:hAnsi="Arial"/>
                <w:b w:val="false"/>
                <w:bCs w:val="false"/>
                <w:color w:val="000000"/>
                <w:sz w:val="22"/>
                <w:szCs w:val="22"/>
                <w:shd w:fill="auto" w:val="clear"/>
                <w:lang w:eastAsia="zh-CN"/>
              </w:rPr>
              <w:t xml:space="preserve">Постановление Администрации </w:t>
            </w:r>
            <w:r>
              <w:rPr>
                <w:rStyle w:val="73"/>
                <w:rFonts w:eastAsia="PT Astra Sans" w:cs="PT Astra Sans" w:ascii="Arial" w:hAnsi="Arial"/>
                <w:b w:val="false"/>
                <w:bCs w:val="false"/>
                <w:color w:val="000000"/>
                <w:spacing w:val="1"/>
                <w:sz w:val="22"/>
                <w:szCs w:val="22"/>
                <w:shd w:fill="auto" w:val="clear"/>
                <w:lang w:eastAsia="zh-CN"/>
              </w:rPr>
              <w:t>Альменевского муниципального округа Курганской области от 22.08.2022 г. № 286    «Об утверждении Административного регламента предоставления Администрацией Альменевского муниципального округа Курганской области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Альменевского муниципального округа Курганской области»</w:t>
            </w:r>
          </w:p>
        </w:tc>
      </w:tr>
      <w:tr>
        <w:trPr/>
        <w:tc>
          <w:tcPr>
            <w:tcW w:w="3000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Arial" w:hAnsi="Arial" w:eastAsia="Times New Roman" w:cs="Arial"/>
                <w:b/>
                <w:b/>
                <w:color w:val="403152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/>
                <w:sz w:val="21"/>
                <w:szCs w:val="21"/>
                <w:lang w:eastAsia="ru-RU"/>
              </w:rPr>
              <w:t>Контакты органа</w:t>
            </w:r>
          </w:p>
        </w:tc>
        <w:tc>
          <w:tcPr>
            <w:tcW w:w="12362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ru-RU"/>
              </w:rPr>
              <w:t xml:space="preserve">Глава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ru-RU"/>
              </w:rPr>
              <w:t xml:space="preserve">Альменевского муниципального округа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ru-RU"/>
              </w:rPr>
              <w:t xml:space="preserve">—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ru-RU"/>
              </w:rPr>
              <w:t>А.В. Снежко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ru-RU"/>
              </w:rPr>
              <w:t xml:space="preserve">Адрес: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ru-RU"/>
              </w:rPr>
              <w:t xml:space="preserve">641130, Курганская обл., М.О. Альменевский, с. Альменево,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ru-RU"/>
              </w:rPr>
              <w:t xml:space="preserve">пл. Комсомола, д. 1 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eastAsia="ru-RU"/>
              </w:rPr>
              <w:t>Тел. 8(352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ru-RU"/>
              </w:rPr>
              <w:t xml:space="preserve">)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eastAsia="ru-RU"/>
              </w:rPr>
              <w:t>42-84-45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 xml:space="preserve">Электронный адрес: </w:t>
            </w:r>
            <w:r>
              <w:rPr>
                <w:rStyle w:val="Style16"/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  <w:lang w:val="en-US" w:eastAsia="ru-RU"/>
              </w:rPr>
              <w:t>45t0</w:t>
            </w:r>
            <w:r>
              <w:rPr>
                <w:rStyle w:val="Style16"/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  <w:lang w:val="en-US" w:eastAsia="ru-RU"/>
              </w:rPr>
              <w:t>20</w:t>
            </w:r>
            <w:r>
              <w:rPr>
                <w:rStyle w:val="Style16"/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u w:val="none"/>
                <w:lang w:val="en-US" w:eastAsia="ru-RU"/>
              </w:rPr>
              <w:t>02@kurganobl.ru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680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 Unicode MS">
    <w:charset w:val="cc"/>
    <w:family w:val="roman"/>
    <w:pitch w:val="variable"/>
  </w:font>
  <w:font w:name="Arial">
    <w:charset w:val="cc"/>
    <w:family w:val="roman"/>
    <w:pitch w:val="variable"/>
  </w:font>
  <w:font w:name="Arial">
    <w:altName w:val="Helvetica"/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ConsPlusNormal" w:customStyle="1">
    <w:name w:val="ConsPlusNormal Знак"/>
    <w:link w:val="ConsPlusNormal"/>
    <w:qFormat/>
    <w:locked/>
    <w:rsid w:val="00523e67"/>
    <w:rPr>
      <w:rFonts w:ascii="Calibri" w:hAnsi="Calibri" w:eastAsia="Times New Roman" w:cs="Calibri"/>
      <w:szCs w:val="20"/>
      <w:lang w:eastAsia="ru-RU"/>
    </w:rPr>
  </w:style>
  <w:style w:type="character" w:styleId="Blk" w:customStyle="1">
    <w:name w:val="blk"/>
    <w:basedOn w:val="DefaultParagraphFont"/>
    <w:qFormat/>
    <w:rsid w:val="00f847f9"/>
    <w:rPr/>
  </w:style>
  <w:style w:type="character" w:styleId="73">
    <w:name w:val="Основной текст (7)3"/>
    <w:qFormat/>
    <w:rPr/>
  </w:style>
  <w:style w:type="character" w:styleId="Style15">
    <w:name w:val="Основной текст + Курсив"/>
    <w:qFormat/>
    <w:rPr>
      <w:b/>
      <w:i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1" w:customStyle="1">
    <w:name w:val="ConsPlusNormal"/>
    <w:link w:val="ConsPlusNormal0"/>
    <w:qFormat/>
    <w:rsid w:val="0039620a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Western" w:customStyle="1">
    <w:name w:val="western"/>
    <w:basedOn w:val="Normal"/>
    <w:qFormat/>
    <w:rsid w:val="00146fa3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unhideWhenUsed/>
    <w:qFormat/>
    <w:rsid w:val="00dd0525"/>
    <w:pPr>
      <w:spacing w:lineRule="auto" w:line="288" w:beforeAutospacing="1" w:after="142"/>
    </w:pPr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paragraph" w:styleId="ConsPlusDocList" w:customStyle="1">
    <w:name w:val="ConsPlusDocList"/>
    <w:qFormat/>
    <w:rsid w:val="00587e2b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121" w:customStyle="1">
    <w:name w:val="Style12"/>
    <w:basedOn w:val="Normal"/>
    <w:uiPriority w:val="99"/>
    <w:qFormat/>
    <w:rsid w:val="000e65f9"/>
    <w:pPr>
      <w:widowControl w:val="false"/>
      <w:spacing w:lineRule="auto" w:line="240" w:before="0" w:after="0"/>
    </w:pPr>
    <w:rPr>
      <w:rFonts w:ascii="Times New Roman" w:hAnsi="Times New Roman" w:eastAsia="" w:cs="Times New Roman" w:eastAsiaTheme="minorEastAsia"/>
      <w:color w:val="00000A"/>
      <w:sz w:val="24"/>
      <w:szCs w:val="24"/>
      <w:lang w:eastAsia="ru-RU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Arial Unicode MS" w:hAnsi="Arial Unicode MS" w:eastAsia="Arial Unicode MS" w:cs="Liberation Serif"/>
      <w:color w:val="000000"/>
      <w:kern w:val="2"/>
      <w:sz w:val="24"/>
      <w:szCs w:val="24"/>
      <w:lang w:val="ru-RU" w:eastAsia="ar-SA" w:bidi="ar-SA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Application>LibreOffice/7.0.0.3$Windows_X86_64 LibreOffice_project/8061b3e9204bef6b321a21033174034a5e2ea88e</Application>
  <Pages>3</Pages>
  <Words>496</Words>
  <Characters>3949</Characters>
  <CharactersWithSpaces>4399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2018-11-16T04:57:00Z</dcterms:created>
  <dc:creator>Надежда Николаевна Плотникова</dc:creator>
  <dc:description/>
  <dc:language>ru-RU</dc:language>
  <cp:lastModifiedBy>Игорь Валентинович Прутовых</cp:lastModifiedBy>
  <cp:lastPrinted>2018-08-08T10:10:00Z</cp:lastPrinted>
  <dcterms:modified xsi:type="dcterms:W3CDTF">2024-02-13T13:50:14Z</dcterms:modified>
  <cp:revision>151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