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604"/>
        <w:gridCol w:w="12758"/>
      </w:tblGrid>
      <w:tr>
        <w:trPr/>
        <w:tc>
          <w:tcPr>
            <w:tcW w:w="26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7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ind w:left="0" w:right="0" w:hanging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shd w:fill="FFFFFF" w:val="clear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>
        <w:trPr/>
        <w:tc>
          <w:tcPr>
            <w:tcW w:w="260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  <w:tcMar>
              <w:top w:w="150" w:type="dxa"/>
              <w:left w:w="150" w:type="dxa"/>
              <w:bottom w:w="150" w:type="dxa"/>
              <w:right w:w="15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7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top w:w="150" w:type="dxa"/>
              <w:left w:w="110" w:type="dxa"/>
              <w:bottom w:w="150" w:type="dxa"/>
              <w:right w:w="150" w:type="dxa"/>
            </w:tcMar>
          </w:tcPr>
          <w:p>
            <w:pPr>
              <w:pStyle w:val="ConsPlusNormal"/>
              <w:widowControl w:val="false"/>
              <w:spacing w:lineRule="auto" w:line="24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cs="Calibri" w:ascii="Arial" w:hAnsi="Arial"/>
                <w:b/>
                <w:color w:val="00000A"/>
                <w:sz w:val="22"/>
                <w:szCs w:val="22"/>
                <w:lang w:eastAsia="ru-RU"/>
              </w:rPr>
              <w:t>Альменевского муниципального округа</w:t>
            </w:r>
          </w:p>
        </w:tc>
      </w:tr>
      <w:tr>
        <w:trPr>
          <w:trHeight w:val="589" w:hRule="atLeast"/>
        </w:trPr>
        <w:tc>
          <w:tcPr>
            <w:tcW w:w="260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  <w:tcMar>
              <w:top w:w="150" w:type="dxa"/>
              <w:left w:w="150" w:type="dxa"/>
              <w:bottom w:w="150" w:type="dxa"/>
              <w:right w:w="15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7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top w:w="150" w:type="dxa"/>
              <w:left w:w="110" w:type="dxa"/>
              <w:bottom w:w="150" w:type="dxa"/>
              <w:right w:w="150" w:type="dxa"/>
            </w:tcMar>
          </w:tcPr>
          <w:p>
            <w:pPr>
              <w:pStyle w:val="NormalWeb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 xml:space="preserve">Физические лица, юридические лица </w:t>
            </w: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и индивидуальные предприниматели</w:t>
            </w:r>
          </w:p>
        </w:tc>
      </w:tr>
      <w:tr>
        <w:trPr>
          <w:trHeight w:val="681" w:hRule="atLeast"/>
        </w:trPr>
        <w:tc>
          <w:tcPr>
            <w:tcW w:w="260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  <w:tcMar>
              <w:top w:w="150" w:type="dxa"/>
              <w:left w:w="150" w:type="dxa"/>
              <w:bottom w:w="150" w:type="dxa"/>
              <w:right w:w="15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7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top w:w="150" w:type="dxa"/>
              <w:left w:w="110" w:type="dxa"/>
              <w:bottom w:w="150" w:type="dxa"/>
              <w:right w:w="150" w:type="dxa"/>
            </w:tcMar>
          </w:tcPr>
          <w:p>
            <w:pPr>
              <w:pStyle w:val="ConsPlusNormal"/>
              <w:widowControl w:val="false"/>
              <w:spacing w:lineRule="auto" w:line="24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  <w:t>Отдел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  <w:t xml:space="preserve">ом 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  <w:t>экономики и управления муниципальным имуществом</w:t>
            </w:r>
            <w:r>
              <w:rPr>
                <w:rFonts w:ascii="Arial" w:hAnsi="Arial"/>
                <w:b w:val="false"/>
                <w:bCs w:val="false"/>
                <w:color w:val="auto"/>
                <w:sz w:val="22"/>
                <w:szCs w:val="22"/>
              </w:rPr>
              <w:t xml:space="preserve"> Администраци</w:t>
            </w: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sz w:val="22"/>
                <w:szCs w:val="22"/>
                <w:lang w:eastAsia="ru-RU"/>
              </w:rPr>
              <w:t>и</w:t>
            </w:r>
            <w:r>
              <w:rPr>
                <w:rFonts w:ascii="Arial" w:hAnsi="Arial"/>
                <w:b w:val="false"/>
                <w:bCs w:val="false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sz w:val="22"/>
                <w:szCs w:val="22"/>
                <w:lang w:eastAsia="ru-RU"/>
              </w:rPr>
              <w:t>Альменевского муниципального округа</w:t>
            </w:r>
          </w:p>
        </w:tc>
      </w:tr>
      <w:tr>
        <w:trPr/>
        <w:tc>
          <w:tcPr>
            <w:tcW w:w="260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  <w:tcMar>
              <w:top w:w="150" w:type="dxa"/>
              <w:left w:w="150" w:type="dxa"/>
              <w:bottom w:w="150" w:type="dxa"/>
              <w:right w:w="15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7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top w:w="150" w:type="dxa"/>
              <w:left w:w="110" w:type="dxa"/>
              <w:bottom w:w="150" w:type="dxa"/>
              <w:right w:w="150" w:type="dxa"/>
            </w:tcMar>
          </w:tcPr>
          <w:p>
            <w:pPr>
              <w:pStyle w:val="NormalWeb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Ф</w:t>
            </w: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изические лица, юридические лица и индивидуальные предприниматели</w:t>
            </w:r>
          </w:p>
          <w:p>
            <w:pPr>
              <w:pStyle w:val="NormalWeb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Их интересы</w:t>
            </w: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 xml:space="preserve"> могут представлять лица, обладающие соответствующими полномочиями </w:t>
            </w: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(представители)</w:t>
            </w:r>
          </w:p>
        </w:tc>
      </w:tr>
      <w:tr>
        <w:trPr/>
        <w:tc>
          <w:tcPr>
            <w:tcW w:w="260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  <w:tcMar>
              <w:top w:w="150" w:type="dxa"/>
              <w:left w:w="150" w:type="dxa"/>
              <w:bottom w:w="150" w:type="dxa"/>
              <w:right w:w="15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7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top w:w="150" w:type="dxa"/>
              <w:left w:w="110" w:type="dxa"/>
              <w:bottom w:w="150" w:type="dxa"/>
              <w:right w:w="150" w:type="dxa"/>
            </w:tcMar>
          </w:tcPr>
          <w:p>
            <w:pPr>
              <w:pStyle w:val="ConsPlusNormal"/>
              <w:widowControl w:val="false"/>
              <w:spacing w:lineRule="auto" w:line="24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1) Заявление</w:t>
            </w:r>
          </w:p>
          <w:p>
            <w:pPr>
              <w:pStyle w:val="ConsPlusNormal"/>
              <w:widowControl w:val="false"/>
              <w:spacing w:lineRule="auto" w:line="24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2) Документ, удостоверяющий личность заявителя (для физического лица) или его представителя (для юридического лица в случае подачи заявления лицом, не имеющего права действовать от имени юридического лица без доверенности);</w:t>
            </w:r>
          </w:p>
          <w:p>
            <w:pPr>
              <w:pStyle w:val="ConsPlusNormal"/>
              <w:widowControl w:val="false"/>
              <w:spacing w:lineRule="auto" w:line="24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3) Документ, подтверждающий полномочия представителя физического или юридического лица;</w:t>
            </w:r>
          </w:p>
          <w:p>
            <w:pPr>
              <w:pStyle w:val="ConsPlusNormal"/>
              <w:widowControl w:val="false"/>
              <w:spacing w:lineRule="auto" w:line="24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      </w:r>
          </w:p>
        </w:tc>
      </w:tr>
      <w:tr>
        <w:trPr/>
        <w:tc>
          <w:tcPr>
            <w:tcW w:w="260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  <w:tcMar>
              <w:top w:w="150" w:type="dxa"/>
              <w:left w:w="150" w:type="dxa"/>
              <w:bottom w:w="150" w:type="dxa"/>
              <w:right w:w="15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7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top w:w="150" w:type="dxa"/>
              <w:left w:w="110" w:type="dxa"/>
              <w:bottom w:w="150" w:type="dxa"/>
              <w:right w:w="150" w:type="dxa"/>
            </w:tcMar>
          </w:tcPr>
          <w:p>
            <w:pPr>
              <w:pStyle w:val="ConsPlusNormal"/>
              <w:widowControl w:val="false"/>
              <w:spacing w:lineRule="auto" w:line="24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) выписка из Единого государственного реестра юридических лиц;</w:t>
            </w:r>
          </w:p>
          <w:p>
            <w:pPr>
              <w:pStyle w:val="ConsPlusNormal"/>
              <w:widowControl w:val="false"/>
              <w:spacing w:lineRule="auto" w:line="24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) выписка из Единого государственного реестра индивидуальных предпринимателей;</w:t>
            </w:r>
          </w:p>
          <w:p>
            <w:pPr>
              <w:pStyle w:val="ConsPlusNormal"/>
              <w:widowControl w:val="false"/>
              <w:spacing w:lineRule="auto" w:line="24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) выписка из Единого государственного реестра недвижимости;</w:t>
            </w:r>
          </w:p>
          <w:p>
            <w:pPr>
              <w:pStyle w:val="ConsPlusNormal"/>
              <w:widowControl w:val="false"/>
              <w:spacing w:lineRule="auto" w:line="24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>) лицензия, удостоверяющих право заявителя на проведение работ по геологическому изучению недр;</w:t>
            </w:r>
          </w:p>
          <w:p>
            <w:pPr>
              <w:pStyle w:val="ConsPlusNormal"/>
              <w:widowControl w:val="false"/>
              <w:spacing w:lineRule="auto" w:line="24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Calibri" w:ascii="Arial" w:hAnsi="Arial"/>
                <w:color w:val="00000A"/>
                <w:sz w:val="22"/>
                <w:szCs w:val="22"/>
                <w:lang w:eastAsia="ru-RU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>) нотариально заверенная доверенность</w:t>
            </w:r>
          </w:p>
        </w:tc>
      </w:tr>
      <w:tr>
        <w:trPr>
          <w:trHeight w:val="833" w:hRule="atLeast"/>
        </w:trPr>
        <w:tc>
          <w:tcPr>
            <w:tcW w:w="260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  <w:tcMar>
              <w:top w:w="150" w:type="dxa"/>
              <w:left w:w="150" w:type="dxa"/>
              <w:bottom w:w="150" w:type="dxa"/>
              <w:right w:w="15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7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top w:w="150" w:type="dxa"/>
              <w:left w:w="110" w:type="dxa"/>
              <w:bottom w:w="150" w:type="dxa"/>
              <w:right w:w="150" w:type="dxa"/>
            </w:tcMar>
          </w:tcPr>
          <w:p>
            <w:pPr>
              <w:pStyle w:val="NormalWeb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1) Р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азрешени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е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на использование земель,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земельн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ого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участк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а или части земельного участка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, находящихся в государственной или муниципальной собственности;</w:t>
            </w:r>
          </w:p>
          <w:p>
            <w:pPr>
              <w:pStyle w:val="NormalWeb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2) Разрешение на размещение объекта;</w:t>
            </w:r>
          </w:p>
          <w:p>
            <w:pPr>
              <w:pStyle w:val="NormalWeb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3)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Р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ешение об отказе в предоставлении услуги.</w:t>
            </w:r>
          </w:p>
        </w:tc>
      </w:tr>
      <w:tr>
        <w:trPr>
          <w:trHeight w:val="635" w:hRule="atLeast"/>
        </w:trPr>
        <w:tc>
          <w:tcPr>
            <w:tcW w:w="260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  <w:tcMar>
              <w:top w:w="150" w:type="dxa"/>
              <w:left w:w="150" w:type="dxa"/>
              <w:bottom w:w="150" w:type="dxa"/>
              <w:right w:w="15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7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top w:w="150" w:type="dxa"/>
              <w:left w:w="110" w:type="dxa"/>
              <w:bottom w:w="150" w:type="dxa"/>
              <w:right w:w="150" w:type="dxa"/>
            </w:tcMar>
          </w:tcPr>
          <w:p>
            <w:pPr>
              <w:pStyle w:val="ConsPlusNormal"/>
              <w:widowControl w:val="false"/>
              <w:spacing w:lineRule="auto" w:line="24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 календарных дней</w:t>
            </w:r>
          </w:p>
        </w:tc>
      </w:tr>
      <w:tr>
        <w:trPr>
          <w:trHeight w:val="735" w:hRule="atLeast"/>
        </w:trPr>
        <w:tc>
          <w:tcPr>
            <w:tcW w:w="260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  <w:tcMar>
              <w:top w:w="150" w:type="dxa"/>
              <w:left w:w="150" w:type="dxa"/>
              <w:bottom w:w="150" w:type="dxa"/>
              <w:right w:w="15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7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top w:w="150" w:type="dxa"/>
              <w:left w:w="110" w:type="dxa"/>
              <w:bottom w:w="150" w:type="dxa"/>
              <w:right w:w="150" w:type="dxa"/>
            </w:tcMar>
          </w:tcPr>
          <w:p>
            <w:pPr>
              <w:pStyle w:val="ConsPlusNormal"/>
              <w:widowControl w:val="false"/>
              <w:spacing w:lineRule="auto" w:line="24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1) представление неполного комплекта документов;</w:t>
            </w:r>
          </w:p>
          <w:p>
            <w:pPr>
              <w:pStyle w:val="ConsPlusNormal"/>
              <w:widowControl w:val="false"/>
              <w:spacing w:lineRule="auto" w:line="24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2) представленные документы утратили силу на момент обращения за услугой;</w:t>
            </w:r>
          </w:p>
          <w:p>
            <w:pPr>
              <w:pStyle w:val="ConsPlusNormal"/>
              <w:widowControl w:val="false"/>
              <w:spacing w:lineRule="auto" w:line="24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3) представленные документы содержат подчистки и исправления текста, не заверенные в порядке, установленном законодательством Российской Федераци</w:t>
            </w:r>
            <w:r>
              <w:rPr>
                <w:rFonts w:ascii="Arial" w:hAnsi="Arial"/>
                <w:sz w:val="22"/>
                <w:szCs w:val="22"/>
                <w:shd w:fill="FFFFFF" w:val="clear"/>
              </w:rPr>
              <w:t>и.</w:t>
            </w:r>
          </w:p>
        </w:tc>
      </w:tr>
      <w:tr>
        <w:trPr>
          <w:trHeight w:val="381" w:hRule="atLeast"/>
        </w:trPr>
        <w:tc>
          <w:tcPr>
            <w:tcW w:w="260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  <w:tcMar>
              <w:top w:w="150" w:type="dxa"/>
              <w:left w:w="150" w:type="dxa"/>
              <w:bottom w:w="150" w:type="dxa"/>
              <w:right w:w="15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7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top w:w="150" w:type="dxa"/>
              <w:left w:w="110" w:type="dxa"/>
              <w:bottom w:w="150" w:type="dxa"/>
              <w:right w:w="150" w:type="dxa"/>
            </w:tcMar>
          </w:tcPr>
          <w:p>
            <w:pPr>
              <w:pStyle w:val="ConsPlusNormal"/>
              <w:widowControl w:val="false"/>
              <w:spacing w:lineRule="auto" w:line="24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Плата за предоставление муниципальной услуги не взимается.</w:t>
            </w:r>
          </w:p>
        </w:tc>
      </w:tr>
      <w:tr>
        <w:trPr>
          <w:trHeight w:val="381" w:hRule="atLeast"/>
        </w:trPr>
        <w:tc>
          <w:tcPr>
            <w:tcW w:w="2604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  <w:tcMar>
              <w:top w:w="150" w:type="dxa"/>
              <w:left w:w="150" w:type="dxa"/>
              <w:bottom w:w="150" w:type="dxa"/>
              <w:right w:w="15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75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top w:w="150" w:type="dxa"/>
              <w:left w:w="110" w:type="dxa"/>
              <w:bottom w:w="150" w:type="dxa"/>
              <w:right w:w="150" w:type="dxa"/>
            </w:tcMar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Cs/>
                <w:color w:val="000000"/>
                <w:sz w:val="22"/>
                <w:szCs w:val="22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Cs/>
                <w:color w:val="000000"/>
                <w:sz w:val="22"/>
                <w:szCs w:val="22"/>
                <w:shd w:fill="auto" w:val="clear"/>
                <w:lang w:eastAsia="ru-RU"/>
              </w:rPr>
              <w:t>П</w:t>
            </w:r>
            <w:r>
              <w:rPr>
                <w:rFonts w:eastAsia="Times New Roman" w:cs="Arial" w:ascii="Arial" w:hAnsi="Arial"/>
                <w:b w:val="false"/>
                <w:bCs w:val="false"/>
                <w:iCs/>
                <w:color w:val="000000"/>
                <w:sz w:val="22"/>
                <w:szCs w:val="22"/>
                <w:shd w:fill="auto" w:val="clear"/>
                <w:lang w:eastAsia="ru-RU"/>
              </w:rPr>
              <w:t>остановлени</w:t>
            </w:r>
            <w:r>
              <w:rPr>
                <w:rFonts w:eastAsia="Times New Roman" w:cs="Arial" w:ascii="Arial" w:hAnsi="Arial"/>
                <w:b w:val="false"/>
                <w:bCs w:val="false"/>
                <w:iCs/>
                <w:color w:val="000000"/>
                <w:sz w:val="22"/>
                <w:szCs w:val="22"/>
                <w:shd w:fill="auto" w:val="clear"/>
                <w:lang w:eastAsia="ru-RU"/>
              </w:rPr>
              <w:t>е</w:t>
            </w:r>
            <w:r>
              <w:rPr>
                <w:rFonts w:eastAsia="Times New Roman" w:cs="Arial" w:ascii="Arial" w:hAnsi="Arial"/>
                <w:b w:val="false"/>
                <w:bCs w:val="false"/>
                <w:iCs/>
                <w:color w:val="000000"/>
                <w:sz w:val="22"/>
                <w:szCs w:val="22"/>
                <w:shd w:fill="auto" w:val="clear"/>
                <w:lang w:eastAsia="ru-RU"/>
              </w:rPr>
              <w:t xml:space="preserve"> Администрации Альменевского муниципального округа Курганской области от 10.10.2022 г. № 336 «Об утверждении Административного регламента предоставления Администрацией Альменевского муниципального округа Курганской области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      </w:r>
          </w:p>
        </w:tc>
      </w:tr>
      <w:tr>
        <w:trPr>
          <w:trHeight w:val="381" w:hRule="atLeast"/>
        </w:trPr>
        <w:tc>
          <w:tcPr>
            <w:tcW w:w="2604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  <w:tcMar>
              <w:top w:w="150" w:type="dxa"/>
              <w:left w:w="150" w:type="dxa"/>
              <w:bottom w:w="150" w:type="dxa"/>
              <w:right w:w="150" w:type="dxa"/>
            </w:tcMar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color w:val="403152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0"/>
                <w:szCs w:val="20"/>
                <w:lang w:eastAsia="ru-RU"/>
              </w:rPr>
              <w:t>Контактные данные органа</w:t>
            </w:r>
          </w:p>
        </w:tc>
        <w:tc>
          <w:tcPr>
            <w:tcW w:w="1275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top w:w="150" w:type="dxa"/>
              <w:left w:w="110" w:type="dxa"/>
              <w:bottom w:w="150" w:type="dxa"/>
              <w:right w:w="150" w:type="dxa"/>
            </w:tcMar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Глава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Альменевского муниципального округа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—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>А.В. Снежко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641130, Курганская обл., М.О. Альменевский, с. Альменево,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пл. Комсомола, д. 1 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>Тел. 8(352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)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>42-84-45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lang w:val="en-US" w:eastAsia="ru-RU"/>
              </w:rPr>
              <w:t xml:space="preserve">Электронный адрес: 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lang w:val="en-US" w:eastAsia="ru-RU"/>
              </w:rPr>
              <w:t>45t0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lang w:val="en-US" w:eastAsia="ru-RU"/>
              </w:rPr>
              <w:t>20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lang w:val="en-US" w:eastAsia="ru-RU"/>
              </w:rPr>
              <w:t>02@kurganobl.ru</w:t>
            </w:r>
          </w:p>
        </w:tc>
      </w:tr>
      <w:tr>
        <w:trPr>
          <w:trHeight w:val="1256" w:hRule="atLeast"/>
        </w:trPr>
        <w:tc>
          <w:tcPr>
            <w:tcW w:w="260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  <w:tcMar>
              <w:top w:w="150" w:type="dxa"/>
              <w:left w:w="150" w:type="dxa"/>
              <w:bottom w:w="150" w:type="dxa"/>
              <w:right w:w="15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1"/>
                <w:szCs w:val="21"/>
                <w:lang w:eastAsia="ru-RU"/>
              </w:rPr>
            </w:r>
          </w:p>
        </w:tc>
        <w:tc>
          <w:tcPr>
            <w:tcW w:w="127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top w:w="150" w:type="dxa"/>
              <w:left w:w="110" w:type="dxa"/>
              <w:bottom w:w="150" w:type="dxa"/>
              <w:right w:w="150" w:type="dxa"/>
            </w:tcMar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567" w:header="0" w:top="426" w:footer="0" w:bottom="850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2f62a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0105"/>
    <w:rPr>
      <w:b/>
      <w:bCs/>
    </w:rPr>
  </w:style>
  <w:style w:type="character" w:styleId="S5" w:customStyle="1">
    <w:name w:val="s5"/>
    <w:basedOn w:val="DefaultParagraphFont"/>
    <w:qFormat/>
    <w:rsid w:val="001f34a6"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39620a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eastAsia="ru-RU" w:val="ru-RU" w:bidi="ar-SA"/>
    </w:rPr>
  </w:style>
  <w:style w:type="paragraph" w:styleId="Default" w:customStyle="1">
    <w:name w:val="Default"/>
    <w:qFormat/>
    <w:pPr>
      <w:widowControl w:val="fals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4c0105"/>
    <w:pPr>
      <w:spacing w:lineRule="auto" w:line="240" w:beforeAutospacing="1" w:after="119"/>
    </w:pPr>
    <w:rPr>
      <w:rFonts w:ascii="Times New Roman" w:hAnsi="Times New Roman" w:eastAsia="Times New Roman" w:cs="Times New Roman"/>
      <w:color w:val="auto"/>
      <w:sz w:val="24"/>
      <w:szCs w:val="24"/>
      <w:lang w:eastAsia="ru-RU"/>
    </w:rPr>
  </w:style>
  <w:style w:type="paragraph" w:styleId="NoSpacing">
    <w:name w:val="No Spacing"/>
    <w:uiPriority w:val="1"/>
    <w:qFormat/>
    <w:rsid w:val="00af24a1"/>
    <w:pPr>
      <w:widowControl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LibreOffice/7.0.0.3$Windows_X86_64 LibreOffice_project/8061b3e9204bef6b321a21033174034a5e2ea88e</Application>
  <Pages>2</Pages>
  <Words>355</Words>
  <Characters>2810</Characters>
  <CharactersWithSpaces>3127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2020-06-17T06:16:00Z</dcterms:created>
  <dc:creator>Кондакова Наталия Петровна</dc:creator>
  <dc:description/>
  <dc:language>ru-RU</dc:language>
  <cp:lastModifiedBy>Игорь Валентинович Прутовых</cp:lastModifiedBy>
  <cp:lastPrinted>2018-08-08T10:10:00Z</cp:lastPrinted>
  <dcterms:modified xsi:type="dcterms:W3CDTF">2024-02-13T16:40:46Z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