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864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406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shd w:fill="FFFFFF"/>
              <w:bidi w:val="0"/>
              <w:spacing w:lineRule="exact" w:line="267" w:before="0" w:after="210"/>
              <w:ind w:left="2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Предоставление разрешения на осуществление земляных работ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Администрация Альменевского </w:t>
            </w:r>
            <w:r>
              <w:rPr>
                <w:rFonts w:eastAsia="Times New Roman" w:cs="Calibri" w:ascii="Arial" w:hAnsi="Arial"/>
                <w:b w:val="false"/>
                <w:bCs w:val="false"/>
                <w:color w:val="00000A"/>
                <w:sz w:val="22"/>
                <w:szCs w:val="22"/>
                <w:shd w:fill="auto" w:val="clear"/>
                <w:lang w:eastAsia="ru-RU"/>
              </w:rPr>
              <w:t>муниципального округа Курганской области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720" w:right="282" w:hanging="0"/>
              <w:jc w:val="both"/>
              <w:rPr>
                <w:rFonts w:ascii="Arial" w:hAnsi="Arial" w:cs="PT Astra Sans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 и юридические лица, индивидуальные предприниматели, намеревающиеся осуществить земляные работы при строительстве, реконструкции, ремонте зданий, сооружений, инженерных коммуникаций, проведении благоустройства и озеленения территорий, связанных с разбивкой грунта и (или) нарушением покрытий (асфальтобетонных, бетонных, грунтовых) дорог, улиц, площадей общего пользования, а также при проведении аварийно-восстановительных работ инженерных коммуникаций на территории Альменевского муниципального округа Курганской области</w:t>
            </w:r>
          </w:p>
        </w:tc>
      </w:tr>
      <w:tr>
        <w:trPr>
          <w:trHeight w:val="1202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</w:rPr>
              <w:t xml:space="preserve">Постановление Администрации Альменевского муниципального округа Курганской области </w:t>
            </w: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 w:eastAsia="ru-RU"/>
              </w:rPr>
              <w:t xml:space="preserve">от 22.08.2022 г. № 285 «Об утверждении Административного регламента предоставления Администрацией Альменевского муниципального округа Курганской области муниципальной услуги «Предоставление разрешения на осуществление земляных работ» на территории Альменевского муниципального округа Курганской области»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720" w:right="282" w:hanging="0"/>
              <w:jc w:val="both"/>
              <w:rPr>
                <w:rFonts w:ascii="Arial" w:hAnsi="Arial" w:cs="PT Astra Sans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физические лица;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720" w:right="282" w:hanging="0"/>
              <w:jc w:val="both"/>
              <w:rPr>
                <w:rFonts w:ascii="Arial" w:hAnsi="Arial" w:cs="PT Astra Sans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- и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ндивидуальны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е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предпринимател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и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72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- юридические лица</w:t>
            </w:r>
          </w:p>
          <w:p>
            <w:pPr>
              <w:pStyle w:val="Style19"/>
              <w:widowControl w:val="false"/>
              <w:numPr>
                <w:ilvl w:val="0"/>
                <w:numId w:val="2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PT Astra Sans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Заявитель вправе обратиться за получением муниципальной услуги через представителя</w:t>
            </w:r>
          </w:p>
        </w:tc>
      </w:tr>
      <w:tr>
        <w:trPr/>
        <w:tc>
          <w:tcPr>
            <w:tcW w:w="2458" w:type="dxa"/>
            <w:vMerge w:val="restart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95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проектн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ая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 xml:space="preserve"> документаци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я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, согласованн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ая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 xml:space="preserve"> и утвержденн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 xml:space="preserve">ая 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в установленном порядке с собственниками инженерных коммуникаций, с лицами, являющимися собственниками, арендаторами, балансодержателями и иными законными владельцами земельных участков;</w:t>
            </w:r>
          </w:p>
          <w:p>
            <w:pPr>
              <w:pStyle w:val="NoSpacing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78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приказ организации-подрядчика о назначении ответственного лица за производство работ;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95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договор и смет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en-US" w:bidi="ar-SA"/>
              </w:rPr>
              <w:t>а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, заключенн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en-US" w:bidi="ar-SA"/>
              </w:rPr>
              <w:t>ые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 с подрядной организацией на восстановление нарушенного благоустройства, согласованны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en-US" w:bidi="ar-SA"/>
              </w:rPr>
              <w:t>е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 с собственником (балансодержателем) автомобильной дороги муниципального значения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7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гарантийное письмо организации-заявителя о восстановлении нарушенного благоустройства при производстве работ в зимний период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исполнительн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ая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 xml:space="preserve"> съемк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а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, согласованн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ая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 xml:space="preserve"> с соответствующими организациями, ответственными за эксплуатацию коммуникаций, расположенных на участке производства работ, с лицами, являющимися собственниками, арендаторами, балансодержателями и иными законными владельцами земельных участков</w:t>
            </w: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7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shd w:fill="auto" w:val="clear"/>
                <w:lang w:val="ru-RU" w:eastAsia="ru-RU"/>
              </w:rPr>
              <w:t>технические условия на строительство (реконструкцию) инженерных коммуникаци</w:t>
            </w:r>
          </w:p>
        </w:tc>
      </w:tr>
      <w:tr>
        <w:trPr/>
        <w:tc>
          <w:tcPr>
            <w:tcW w:w="2458" w:type="dxa"/>
            <w:vMerge w:val="continue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</w:r>
          </w:p>
        </w:tc>
        <w:tc>
          <w:tcPr>
            <w:tcW w:w="1240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shd w:fill="FFFFFF"/>
              <w:tabs>
                <w:tab w:val="clear" w:pos="720"/>
                <w:tab w:val="left" w:pos="995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448" w:leader="none"/>
              </w:tabs>
              <w:bidi w:val="0"/>
              <w:spacing w:lineRule="exact" w:line="279" w:before="0" w:after="0"/>
              <w:ind w:left="72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Разрешение на право производства земляных работ;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448" w:leader="none"/>
              </w:tabs>
              <w:bidi w:val="0"/>
              <w:spacing w:lineRule="exact" w:line="279" w:before="0" w:after="0"/>
              <w:ind w:left="72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443" w:leader="none"/>
              </w:tabs>
              <w:bidi w:val="0"/>
              <w:spacing w:lineRule="exact" w:line="279" w:before="0" w:after="0"/>
              <w:ind w:left="72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PT Astra Sans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Решение об отказе на производство земляных работ</w:t>
            </w:r>
          </w:p>
        </w:tc>
      </w:tr>
      <w:tr>
        <w:trPr>
          <w:trHeight w:val="1057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443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Получение разрешения/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отказа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на производство земляных работ на территории Альменевского муниципального округа Курганской области — </w:t>
            </w:r>
            <w:r>
              <w:rPr>
                <w:rFonts w:eastAsia="PT Astra Sans" w:cs="PT Astra Sans" w:ascii="Arial" w:hAnsi="Arial"/>
                <w:b/>
                <w:bCs/>
                <w:sz w:val="22"/>
                <w:szCs w:val="22"/>
                <w:shd w:fill="auto" w:val="clear"/>
              </w:rPr>
              <w:t>3 рабочих дня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Оснований для отказ</w:t>
            </w:r>
            <w:bookmarkStart w:id="0" w:name="_GoBack"/>
            <w:bookmarkEnd w:id="0"/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</w:tc>
      </w:tr>
    </w:tbl>
    <w:p>
      <w:pPr>
        <w:pStyle w:val="Normal"/>
        <w:tabs>
          <w:tab w:val="clear" w:pos="720"/>
          <w:tab w:val="left" w:pos="4388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73">
    <w:name w:val="Основной текст (7)3"/>
    <w:qFormat/>
    <w:rPr/>
  </w:style>
  <w:style w:type="character" w:styleId="115pt">
    <w:name w:val="Основной текст + 11,5 pt,Курсив"/>
    <w:qFormat/>
    <w:rPr>
      <w:rFonts w:ascii="Times New Roman" w:hAnsi="Times New Roman" w:cs="Times New Roman"/>
      <w:i/>
      <w:spacing w:val="0"/>
      <w:sz w:val="23"/>
    </w:rPr>
  </w:style>
  <w:style w:type="character" w:styleId="Style17">
    <w:name w:val="Основной текст + Курсив"/>
    <w:qFormat/>
    <w:rPr>
      <w:rFonts w:ascii="Times New Roman" w:hAnsi="Times New Roman" w:cs="Times New Roman"/>
      <w:i/>
      <w:spacing w:val="0"/>
      <w:sz w:val="22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LibreOffice/7.0.0.3$Windows_X86_64 LibreOffice_project/8061b3e9204bef6b321a21033174034a5e2ea88e</Application>
  <Pages>2</Pages>
  <Words>345</Words>
  <Characters>2832</Characters>
  <CharactersWithSpaces>3135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>Игорь Валентинович Прутовых</cp:lastModifiedBy>
  <cp:lastPrinted>2018-08-08T10:10:00Z</cp:lastPrinted>
  <dcterms:modified xsi:type="dcterms:W3CDTF">2024-02-08T14:43:20Z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