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otnotes.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tbl>
      <w:tblPr>
        <w:tblW w:w="15363" w:type="dxa"/>
        <w:jc w:val="left"/>
        <w:tblInd w:w="135" w:type="dxa"/>
        <w:tblLayout w:type="fixed"/>
        <w:tblCellMar>
          <w:top w:w="150" w:type="dxa"/>
          <w:left w:w="150" w:type="dxa"/>
          <w:bottom w:w="150" w:type="dxa"/>
          <w:right w:w="150" w:type="dxa"/>
        </w:tblCellMar>
        <w:tblLook w:firstRow="1" w:noVBand="1" w:lastRow="0" w:firstColumn="1" w:lastColumn="0" w:noHBand="0" w:val="04a0"/>
      </w:tblPr>
      <w:tblGrid>
        <w:gridCol w:w="2459"/>
        <w:gridCol w:w="12903"/>
      </w:tblGrid>
      <w:tr>
        <w:trPr/>
        <w:tc>
          <w:tcPr>
            <w:tcW w:w="2459" w:type="dxa"/>
            <w:tcBorders>
              <w:lef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0070C0"/>
                <w:sz w:val="24"/>
                <w:szCs w:val="24"/>
                <w:lang w:eastAsia="ru-RU"/>
              </w:rPr>
            </w:pPr>
            <w:r>
              <w:rPr>
                <w:rFonts w:eastAsia="Times New Roman" w:cs="Arial" w:ascii="Arial" w:hAnsi="Arial"/>
                <w:b/>
                <w:color w:val="0070C0"/>
                <w:sz w:val="24"/>
                <w:szCs w:val="24"/>
                <w:lang w:eastAsia="ru-RU"/>
              </w:rPr>
              <w:t>Наименование услуги</w:t>
            </w:r>
          </w:p>
        </w:tc>
        <w:tc>
          <w:tcPr>
            <w:tcW w:w="12903" w:type="dxa"/>
            <w:tcBorders>
              <w:left w:val="single" w:sz="6" w:space="0" w:color="EDEDED"/>
              <w:right w:val="single" w:sz="6" w:space="0" w:color="EDEDED"/>
            </w:tcBorders>
            <w:shd w:color="auto" w:fill="auto" w:val="clear"/>
          </w:tcPr>
          <w:p>
            <w:pPr>
              <w:pStyle w:val="Normal"/>
              <w:widowControl w:val="false"/>
              <w:tabs>
                <w:tab w:val="clear" w:pos="708"/>
                <w:tab w:val="left" w:pos="32" w:leader="none"/>
              </w:tabs>
              <w:bidi w:val="0"/>
              <w:spacing w:lineRule="auto" w:line="240" w:before="0" w:after="0"/>
              <w:ind w:left="0" w:right="0" w:firstLine="709"/>
              <w:jc w:val="both"/>
              <w:rPr>
                <w:rFonts w:ascii="Arial" w:hAnsi="Arial" w:cs="Arial"/>
                <w:b/>
                <w:b/>
                <w:color w:val="FF0000"/>
                <w:sz w:val="24"/>
                <w:szCs w:val="24"/>
              </w:rPr>
            </w:pPr>
            <w:r>
              <w:rPr>
                <w:rStyle w:val="Style16"/>
                <w:rFonts w:eastAsia="Times New Roman" w:cs="Times New Roman" w:ascii="Arial" w:hAnsi="Arial"/>
                <w:b/>
                <w:bCs/>
                <w:i w:val="false"/>
                <w:caps w:val="false"/>
                <w:smallCaps w:val="false"/>
                <w:color w:val="000000"/>
                <w:spacing w:val="0"/>
                <w:kern w:val="2"/>
                <w:sz w:val="24"/>
                <w:szCs w:val="24"/>
                <w:shd w:fill="FFFFFF" w:val="clear"/>
                <w:lang w:val="ru-RU" w:eastAsia="ru-RU" w:bidi="ar-SA"/>
              </w:rPr>
              <w:t>П</w:t>
            </w:r>
            <w:r>
              <w:rPr>
                <w:rStyle w:val="Style16"/>
                <w:rFonts w:eastAsia="Arial-BoldMT" w:cs="Arial" w:ascii="Arial" w:hAnsi="Arial"/>
                <w:b/>
                <w:bCs/>
                <w:i w:val="false"/>
                <w:caps w:val="false"/>
                <w:smallCaps w:val="false"/>
                <w:color w:val="000000"/>
                <w:spacing w:val="0"/>
                <w:kern w:val="2"/>
                <w:sz w:val="24"/>
                <w:szCs w:val="24"/>
                <w:shd w:fill="FFFFFF" w:val="clear"/>
                <w:lang w:val="ru-RU" w:eastAsia="ru-RU" w:bidi="ar-SA"/>
              </w:rPr>
              <w:t>рием от застройщиков заявок на технологическое присоединение устройств с максимальной мощностью свыше 15 кВт к электрическим сетям Акционерного общества Сибирско-Уральская энергетическая компания</w:t>
            </w:r>
          </w:p>
        </w:tc>
      </w:tr>
      <w:tr>
        <w:trPr/>
        <w:tc>
          <w:tcPr>
            <w:tcW w:w="2459" w:type="dxa"/>
            <w:tcBorders>
              <w:lef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0070C0"/>
                <w:sz w:val="24"/>
                <w:szCs w:val="24"/>
                <w:lang w:eastAsia="ru-RU"/>
              </w:rPr>
            </w:pPr>
            <w:r>
              <w:rPr>
                <w:rFonts w:eastAsia="Times New Roman" w:cs="Arial" w:ascii="Arial" w:hAnsi="Arial"/>
                <w:b/>
                <w:color w:val="0070C0"/>
                <w:sz w:val="24"/>
                <w:szCs w:val="24"/>
                <w:lang w:eastAsia="ru-RU"/>
              </w:rPr>
              <w:t>Ответственный исполнитель</w:t>
            </w:r>
          </w:p>
        </w:tc>
        <w:tc>
          <w:tcPr>
            <w:tcW w:w="12903" w:type="dxa"/>
            <w:tcBorders>
              <w:left w:val="single" w:sz="6" w:space="0" w:color="EDEDED"/>
              <w:right w:val="single" w:sz="6" w:space="0" w:color="EDEDED"/>
            </w:tcBorders>
            <w:shd w:color="auto" w:fill="auto" w:val="clear"/>
          </w:tcPr>
          <w:p>
            <w:pPr>
              <w:pStyle w:val="Normal"/>
              <w:widowControl w:val="false"/>
              <w:spacing w:lineRule="auto" w:line="240" w:before="0" w:after="0"/>
              <w:ind w:firstLine="674"/>
              <w:rPr>
                <w:rFonts w:ascii="Arial" w:hAnsi="Arial" w:eastAsia="Times New Roman" w:cs="Arial"/>
                <w:b/>
                <w:b/>
                <w:color w:val="000000"/>
                <w:sz w:val="24"/>
                <w:szCs w:val="24"/>
                <w:lang w:eastAsia="ru-RU"/>
              </w:rPr>
            </w:pPr>
            <w:r>
              <w:rPr>
                <w:rFonts w:cs="Arial" w:ascii="Arial" w:hAnsi="Arial"/>
                <w:b/>
                <w:color w:val="0070C0"/>
                <w:sz w:val="24"/>
                <w:szCs w:val="24"/>
              </w:rPr>
              <w:t>Акционерное общество «Сибирско-Уральская энергетическая компания»</w:t>
            </w:r>
          </w:p>
        </w:tc>
      </w:tr>
      <w:tr>
        <w:trPr/>
        <w:tc>
          <w:tcPr>
            <w:tcW w:w="2459" w:type="dxa"/>
            <w:tcBorders>
              <w:top w:val="single" w:sz="6" w:space="0" w:color="EDEDED"/>
              <w:lef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0070C0"/>
                <w:sz w:val="24"/>
                <w:szCs w:val="24"/>
                <w:lang w:eastAsia="ru-RU"/>
              </w:rPr>
            </w:pPr>
            <w:r>
              <w:rPr>
                <w:rFonts w:eastAsia="Times New Roman" w:cs="Arial" w:ascii="Arial" w:hAnsi="Arial"/>
                <w:b/>
                <w:color w:val="0070C0"/>
                <w:sz w:val="24"/>
                <w:szCs w:val="24"/>
                <w:lang w:eastAsia="ru-RU"/>
              </w:rPr>
              <w:t>Получатели услуги</w:t>
            </w:r>
          </w:p>
        </w:tc>
        <w:tc>
          <w:tcPr>
            <w:tcW w:w="12903" w:type="dxa"/>
            <w:tcBorders>
              <w:top w:val="single" w:sz="6" w:space="0" w:color="EDEDED"/>
              <w:left w:val="single" w:sz="6" w:space="0" w:color="EDEDED"/>
              <w:right w:val="single" w:sz="6" w:space="0" w:color="EDEDED"/>
            </w:tcBorders>
            <w:shd w:color="auto" w:fill="auto" w:val="clear"/>
          </w:tcPr>
          <w:p>
            <w:pPr>
              <w:pStyle w:val="Normal"/>
              <w:widowControl w:val="false"/>
              <w:spacing w:lineRule="auto" w:line="240" w:before="0" w:after="0"/>
              <w:ind w:firstLine="674"/>
              <w:rPr>
                <w:rFonts w:ascii="Arial" w:hAnsi="Arial" w:eastAsia="Times New Roman" w:cs="Arial"/>
                <w:color w:val="000000"/>
                <w:sz w:val="24"/>
                <w:szCs w:val="24"/>
                <w:lang w:eastAsia="ru-RU"/>
              </w:rPr>
            </w:pPr>
            <w:r>
              <w:rPr>
                <w:rFonts w:eastAsia="Arial" w:cs="Arial" w:ascii="Arial" w:hAnsi="Arial"/>
                <w:sz w:val="24"/>
                <w:szCs w:val="24"/>
                <w:shd w:fill="FFFFFF" w:val="clear"/>
              </w:rPr>
              <w:t>Заявителями</w:t>
            </w:r>
            <w:r>
              <w:rPr>
                <w:rFonts w:cs="Arial" w:ascii="Arial" w:hAnsi="Arial"/>
                <w:shd w:fill="FFFFFF" w:val="clear"/>
              </w:rPr>
              <w:t xml:space="preserve"> на предоставление услуг являются </w:t>
            </w:r>
            <w:r>
              <w:rPr>
                <w:rFonts w:cs="Arial" w:ascii="Arial" w:hAnsi="Arial"/>
                <w:color w:val="000000"/>
                <w:shd w:fill="FFFFFF" w:val="clear"/>
              </w:rPr>
              <w:t>застройщики (юридические лица и индивидуальные предприниматели)</w:t>
            </w:r>
            <w:r>
              <w:rPr>
                <w:rFonts w:cs="Arial" w:ascii="Arial" w:hAnsi="Arial"/>
                <w:shd w:fill="FFFFFF" w:val="clear"/>
              </w:rPr>
              <w:t xml:space="preserve">, присоединяющие энергопринимающие устройства максимальной мощностью </w:t>
            </w:r>
            <w:r>
              <w:rPr>
                <w:rFonts w:cs="Arial" w:ascii="Arial" w:hAnsi="Arial"/>
                <w:color w:val="000000"/>
                <w:shd w:fill="FFFFFF" w:val="clear"/>
              </w:rPr>
              <w:t>свыше</w:t>
            </w:r>
            <w:r>
              <w:rPr>
                <w:rFonts w:cs="Arial" w:ascii="Arial" w:hAnsi="Arial"/>
                <w:shd w:fill="FFFFFF" w:val="clear"/>
              </w:rPr>
              <w:t xml:space="preserve"> 15 кВт к электрическим сетям АО СУЭНКО</w:t>
            </w:r>
          </w:p>
        </w:tc>
      </w:tr>
      <w:tr>
        <w:trPr/>
        <w:tc>
          <w:tcPr>
            <w:tcW w:w="2459" w:type="dxa"/>
            <w:tcBorders>
              <w:top w:val="single" w:sz="6" w:space="0" w:color="EDEDED"/>
              <w:lef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0070C0"/>
                <w:sz w:val="24"/>
                <w:szCs w:val="24"/>
                <w:lang w:eastAsia="ru-RU"/>
              </w:rPr>
            </w:pPr>
            <w:r>
              <w:rPr>
                <w:rFonts w:eastAsia="Times New Roman" w:cs="Arial" w:ascii="Arial" w:hAnsi="Arial"/>
                <w:b/>
                <w:color w:val="0070C0"/>
                <w:sz w:val="24"/>
                <w:szCs w:val="24"/>
                <w:lang w:eastAsia="ru-RU"/>
              </w:rPr>
              <w:t>Заявители</w:t>
            </w:r>
          </w:p>
        </w:tc>
        <w:tc>
          <w:tcPr>
            <w:tcW w:w="12903" w:type="dxa"/>
            <w:tcBorders>
              <w:top w:val="single" w:sz="6" w:space="0" w:color="EDEDED"/>
              <w:left w:val="single" w:sz="6" w:space="0" w:color="EDEDED"/>
              <w:right w:val="single" w:sz="6" w:space="0" w:color="EDEDED"/>
            </w:tcBorders>
            <w:shd w:color="auto" w:fill="auto" w:val="clear"/>
          </w:tcPr>
          <w:p>
            <w:pPr>
              <w:pStyle w:val="Normal"/>
              <w:widowControl w:val="false"/>
              <w:spacing w:lineRule="auto" w:line="240" w:before="0" w:after="0"/>
              <w:ind w:firstLine="674"/>
              <w:rPr>
                <w:rFonts w:ascii="Arial" w:hAnsi="Arial" w:eastAsia="Times New Roman" w:cs="Arial"/>
                <w:color w:val="000000"/>
                <w:sz w:val="24"/>
                <w:szCs w:val="24"/>
                <w:lang w:eastAsia="ru-RU"/>
              </w:rPr>
            </w:pPr>
            <w:r>
              <w:rPr>
                <w:rFonts w:eastAsia="Times New Roman" w:cs="Arial" w:ascii="Arial" w:hAnsi="Arial"/>
                <w:color w:val="000000"/>
                <w:sz w:val="24"/>
                <w:szCs w:val="24"/>
                <w:lang w:eastAsia="ru-RU"/>
              </w:rPr>
              <w:t>Заявитель может воспользоваться услугой лично или через своего уполномоченного представителя</w:t>
            </w:r>
          </w:p>
        </w:tc>
      </w:tr>
      <w:tr>
        <w:trPr/>
        <w:tc>
          <w:tcPr>
            <w:tcW w:w="2459" w:type="dxa"/>
            <w:tcBorders>
              <w:top w:val="single" w:sz="6" w:space="0" w:color="EDEDED"/>
              <w:lef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0070C0"/>
                <w:sz w:val="24"/>
                <w:szCs w:val="24"/>
                <w:lang w:eastAsia="ru-RU"/>
              </w:rPr>
            </w:pPr>
            <w:r>
              <w:rPr>
                <w:rFonts w:eastAsia="Times New Roman" w:cs="Arial" w:ascii="Arial" w:hAnsi="Arial"/>
                <w:b/>
                <w:color w:val="0070C0"/>
                <w:sz w:val="24"/>
                <w:szCs w:val="24"/>
                <w:lang w:eastAsia="ru-RU"/>
              </w:rPr>
              <w:t>Обязательные документы</w:t>
            </w:r>
          </w:p>
        </w:tc>
        <w:tc>
          <w:tcPr>
            <w:tcW w:w="12903" w:type="dxa"/>
            <w:tcBorders>
              <w:top w:val="single" w:sz="6" w:space="0" w:color="EDEDED"/>
              <w:left w:val="single" w:sz="6" w:space="0" w:color="EDEDED"/>
              <w:right w:val="single" w:sz="6" w:space="0" w:color="EDEDED"/>
            </w:tcBorders>
            <w:shd w:color="auto" w:fill="auto" w:val="clear"/>
          </w:tcPr>
          <w:p>
            <w:pPr>
              <w:pStyle w:val="Standard"/>
              <w:widowControl w:val="false"/>
              <w:ind w:left="709" w:hanging="0"/>
              <w:jc w:val="both"/>
              <w:rPr>
                <w:rFonts w:ascii="Arial" w:hAnsi="Arial" w:eastAsia="Times New Roman" w:cs="Arial"/>
                <w:lang w:val="ru-RU" w:eastAsia="ar-SA" w:bidi="ar-SA"/>
              </w:rPr>
            </w:pPr>
            <w:r>
              <w:rPr>
                <w:rFonts w:eastAsia="Arial" w:cs="Arial" w:ascii="Arial" w:hAnsi="Arial"/>
                <w:shd w:fill="FFFFFF" w:val="clear"/>
                <w:lang w:val="ru-RU"/>
              </w:rPr>
              <w:t>Для получения услуги</w:t>
            </w:r>
            <w:bookmarkStart w:id="0" w:name="__DdeLink__7303_1629610309"/>
            <w:bookmarkEnd w:id="0"/>
            <w:r>
              <w:rPr>
                <w:rFonts w:eastAsia="Arial" w:cs="Arial" w:ascii="Arial" w:hAnsi="Arial"/>
                <w:shd w:fill="FFFFFF" w:val="clear"/>
                <w:lang w:val="ru-RU"/>
              </w:rPr>
              <w:t xml:space="preserve"> заявитель представляет в МФЦ следующие </w:t>
            </w:r>
            <w:r>
              <w:rPr>
                <w:rFonts w:eastAsia="Arial" w:cs="Arial" w:ascii="Arial" w:hAnsi="Arial"/>
                <w:lang w:val="ru-RU"/>
              </w:rPr>
              <w:t>документы:</w:t>
            </w:r>
          </w:p>
          <w:p>
            <w:pPr>
              <w:pStyle w:val="Standard"/>
              <w:widowControl w:val="false"/>
              <w:numPr>
                <w:ilvl w:val="0"/>
                <w:numId w:val="1"/>
              </w:numPr>
              <w:ind w:left="0" w:firstLine="709"/>
              <w:jc w:val="both"/>
              <w:rPr>
                <w:rFonts w:ascii="Arial" w:hAnsi="Arial" w:eastAsia="Arial" w:cs="Arial"/>
                <w:lang w:val="ru-RU"/>
              </w:rPr>
            </w:pPr>
            <w:r>
              <w:rPr>
                <w:rFonts w:eastAsia="Arial" w:cs="Arial" w:ascii="Arial" w:hAnsi="Arial"/>
                <w:lang w:val="ru-RU"/>
              </w:rPr>
              <w:t xml:space="preserve">письменная заявка </w:t>
            </w:r>
            <w:r>
              <w:rPr>
                <w:rFonts w:eastAsia="Arial" w:cs="Arial" w:ascii="Arial" w:hAnsi="Arial"/>
                <w:color w:val="000000"/>
                <w:lang w:val="ru-RU" w:eastAsia="en-US"/>
              </w:rPr>
              <w:t>на технологическое присоединение</w:t>
            </w:r>
          </w:p>
          <w:p>
            <w:pPr>
              <w:pStyle w:val="Normal"/>
              <w:widowControl w:val="false"/>
              <w:numPr>
                <w:ilvl w:val="0"/>
                <w:numId w:val="1"/>
              </w:numPr>
              <w:ind w:left="0" w:firstLine="709"/>
              <w:jc w:val="both"/>
              <w:rPr>
                <w:rFonts w:ascii="Arial" w:hAnsi="Arial" w:eastAsia="Arial" w:cs="Arial"/>
                <w:color w:val="auto"/>
                <w:lang w:val="ru-RU"/>
              </w:rPr>
            </w:pPr>
            <w:r>
              <w:rPr>
                <w:rFonts w:eastAsia="Arial" w:cs="Arial" w:ascii="Arial" w:hAnsi="Arial"/>
                <w:color w:val="000000"/>
                <w:lang w:val="ru-RU" w:eastAsia="en-US"/>
              </w:rPr>
              <w:t>а</w:t>
            </w:r>
            <w:r>
              <w:rPr>
                <w:rFonts w:eastAsia="Arial" w:cs="Arial" w:ascii="Arial" w:hAnsi="Arial"/>
                <w:color w:val="000000"/>
                <w:lang w:eastAsia="en-US"/>
              </w:rPr>
              <w:t>) план расположения энергопринимающих устройств, которые необходимо присоединить к электрическим сетям Общества</w:t>
            </w:r>
            <w:r>
              <w:rPr>
                <w:rStyle w:val="Style18"/>
                <w:rFonts w:eastAsia="Arial" w:cs="Arial" w:ascii="Arial" w:hAnsi="Arial"/>
                <w:color w:val="000000"/>
                <w:lang w:val="ru-RU" w:eastAsia="en-US" w:bidi="hi-IN"/>
              </w:rPr>
              <w:footnoteReference w:id="2"/>
            </w:r>
            <w:r>
              <w:rPr>
                <w:rFonts w:eastAsia="Arial" w:cs="Arial" w:ascii="Arial" w:hAnsi="Arial"/>
                <w:color w:val="000000"/>
                <w:lang w:eastAsia="en-US"/>
              </w:rPr>
              <w:t>;</w:t>
            </w:r>
          </w:p>
          <w:p>
            <w:pPr>
              <w:pStyle w:val="Normal"/>
              <w:widowControl w:val="false"/>
              <w:numPr>
                <w:ilvl w:val="0"/>
                <w:numId w:val="1"/>
              </w:numPr>
              <w:bidi w:val="0"/>
              <w:spacing w:before="0" w:after="200"/>
              <w:ind w:left="0" w:right="0" w:firstLine="709"/>
              <w:contextualSpacing/>
              <w:jc w:val="both"/>
              <w:rPr>
                <w:rFonts w:ascii="Arial" w:hAnsi="Arial" w:eastAsia="Arial" w:cs="Arial"/>
                <w:color w:val="auto"/>
                <w:lang w:val="ru-RU"/>
              </w:rPr>
            </w:pPr>
            <w:r>
              <w:rPr>
                <w:rFonts w:eastAsia="Arial" w:cs="Arial" w:ascii="Arial" w:hAnsi="Arial"/>
                <w:color w:val="000000"/>
                <w:lang w:eastAsia="en-US"/>
              </w:rPr>
              <w:t>б) перечень и мощность энергопринимающих устройств, которые могут быть присоединены к устройствам противоаварийной и режимной автоматики;</w:t>
            </w:r>
          </w:p>
          <w:p>
            <w:pPr>
              <w:pStyle w:val="Normal"/>
              <w:widowControl w:val="false"/>
              <w:numPr>
                <w:ilvl w:val="0"/>
                <w:numId w:val="1"/>
              </w:numPr>
              <w:bidi w:val="0"/>
              <w:spacing w:before="0" w:after="200"/>
              <w:ind w:left="0" w:right="0" w:firstLine="709"/>
              <w:contextualSpacing/>
              <w:jc w:val="both"/>
              <w:rPr>
                <w:rFonts w:ascii="Arial" w:hAnsi="Arial" w:eastAsia="Arial" w:cs="Arial"/>
                <w:color w:val="auto"/>
                <w:lang w:val="ru-RU"/>
              </w:rPr>
            </w:pPr>
            <w:r>
              <w:rPr>
                <w:rFonts w:eastAsia="Arial" w:cs="Arial" w:ascii="Arial" w:hAnsi="Arial"/>
                <w:color w:val="000000"/>
                <w:lang w:eastAsia="en-US"/>
              </w:rPr>
              <w:t>в) один из перечисленных ниже видов документов (за исключением случаев, предусмотренных подпунктами «н» и «о» пункта 10 Правил)</w:t>
            </w:r>
            <w:r>
              <w:rPr>
                <w:rStyle w:val="Style18"/>
                <w:rFonts w:eastAsia="Arial" w:cs="Arial" w:ascii="Arial" w:hAnsi="Arial"/>
                <w:color w:val="000000"/>
                <w:lang w:val="ru-RU" w:eastAsia="en-US" w:bidi="hi-IN"/>
              </w:rPr>
              <w:footnoteReference w:id="3"/>
            </w:r>
            <w:r>
              <w:rPr>
                <w:rFonts w:eastAsia="Arial" w:cs="Arial" w:ascii="Arial" w:hAnsi="Arial"/>
                <w:color w:val="000000"/>
                <w:lang w:eastAsia="en-US"/>
              </w:rPr>
              <w:t>:</w:t>
            </w:r>
          </w:p>
          <w:p>
            <w:pPr>
              <w:pStyle w:val="Normal"/>
              <w:widowControl w:val="false"/>
              <w:numPr>
                <w:ilvl w:val="0"/>
                <w:numId w:val="1"/>
              </w:numPr>
              <w:bidi w:val="0"/>
              <w:spacing w:before="0" w:after="200"/>
              <w:ind w:left="0" w:right="0" w:firstLine="709"/>
              <w:contextualSpacing/>
              <w:jc w:val="both"/>
              <w:rPr>
                <w:rFonts w:ascii="Arial" w:hAnsi="Arial" w:eastAsia="Arial" w:cs="Arial"/>
                <w:color w:val="auto"/>
                <w:lang w:val="ru-RU"/>
              </w:rPr>
            </w:pPr>
            <w:r>
              <w:rPr>
                <w:rFonts w:eastAsia="Arial" w:cs="Arial" w:ascii="Arial" w:hAnsi="Arial"/>
                <w:color w:val="000000"/>
                <w:lang w:eastAsia="en-US"/>
              </w:rPr>
              <w:t>- копии документов, подтверждающих владение заявителем на праве собственности или на ином предусмотренном законом основании объектом капитального строительства (нежилым помещением в таком объекте капитального строительства) и (или) земельном участком, на котором расположены (будут располагаться) энергопринимающие устройства заявителя;</w:t>
            </w:r>
          </w:p>
          <w:p>
            <w:pPr>
              <w:pStyle w:val="Normal"/>
              <w:widowControl w:val="false"/>
              <w:numPr>
                <w:ilvl w:val="0"/>
                <w:numId w:val="1"/>
              </w:numPr>
              <w:bidi w:val="0"/>
              <w:spacing w:before="0" w:after="200"/>
              <w:ind w:left="0" w:right="0" w:firstLine="709"/>
              <w:contextualSpacing/>
              <w:jc w:val="both"/>
              <w:rPr>
                <w:rFonts w:ascii="Arial" w:hAnsi="Arial" w:eastAsia="Arial" w:cs="Arial"/>
                <w:color w:val="auto"/>
                <w:lang w:val="ru-RU"/>
              </w:rPr>
            </w:pPr>
            <w:r>
              <w:rPr>
                <w:rFonts w:eastAsia="Arial" w:cs="Arial" w:ascii="Arial" w:hAnsi="Arial"/>
                <w:color w:val="000000"/>
                <w:lang w:eastAsia="en-US"/>
              </w:rPr>
              <w:t>- копия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в целях размещения энергопринимающих устройств заявителя (с указанием сведений о границах используемой территории);</w:t>
            </w:r>
          </w:p>
          <w:p>
            <w:pPr>
              <w:pStyle w:val="Normal"/>
              <w:widowControl w:val="false"/>
              <w:numPr>
                <w:ilvl w:val="0"/>
                <w:numId w:val="1"/>
              </w:numPr>
              <w:bidi w:val="0"/>
              <w:spacing w:before="0" w:after="200"/>
              <w:ind w:left="0" w:right="0" w:firstLine="709"/>
              <w:contextualSpacing/>
              <w:jc w:val="both"/>
              <w:rPr>
                <w:rFonts w:ascii="Arial" w:hAnsi="Arial" w:eastAsia="Arial" w:cs="Arial"/>
                <w:color w:val="auto"/>
                <w:lang w:val="ru-RU"/>
              </w:rPr>
            </w:pPr>
            <w:r>
              <w:rPr>
                <w:rFonts w:eastAsia="Arial" w:cs="Arial" w:ascii="Arial" w:hAnsi="Arial"/>
                <w:color w:val="000000"/>
                <w:lang w:eastAsia="en-US"/>
              </w:rPr>
              <w:t>- копии документов, подтверждающих, что заявитель обладает сервитутом или публичным сервитутом, которые установлены в соответствии с гражданским законодательством Российской Федерации, земельным законодательством Российской Федерации, и предусматривают возможность использования земельного участка для целей размещения энергопринимающих устройств заявителя (с указанием сведений о границах сервитута);</w:t>
            </w:r>
          </w:p>
          <w:p>
            <w:pPr>
              <w:pStyle w:val="Normal"/>
              <w:widowControl w:val="false"/>
              <w:numPr>
                <w:ilvl w:val="0"/>
                <w:numId w:val="0"/>
              </w:numPr>
              <w:ind w:left="720" w:hanging="0"/>
              <w:jc w:val="both"/>
              <w:rPr>
                <w:rFonts w:ascii="Arial" w:hAnsi="Arial" w:eastAsia="Arial" w:cs="Arial"/>
                <w:color w:val="auto"/>
                <w:lang w:val="ru-RU"/>
              </w:rPr>
            </w:pPr>
            <w:r>
              <w:rPr>
                <w:rFonts w:eastAsia="Arial" w:cs="Arial" w:ascii="Arial" w:hAnsi="Arial"/>
                <w:color w:val="000000"/>
                <w:lang w:val="ru-RU" w:eastAsia="en-US"/>
              </w:rPr>
              <w:t>г</w:t>
            </w:r>
            <w:r>
              <w:rPr>
                <w:rFonts w:eastAsia="Arial" w:cs="Arial" w:ascii="Arial" w:hAnsi="Arial"/>
                <w:color w:val="000000"/>
                <w:lang w:eastAsia="en-US"/>
              </w:rPr>
              <w:t>) для юридических лиц – выписка из Единого государственного реестра юридических лиц, для индивидуальных предпринимателей – выписка из Единого государственного реестра индивидуальных предпринимателей, а также доверенность или иные документы, подтверждающие полномочия представителя заявителя, подающего и получающего документы, в случае если заявка на технологическое присоединение подается в сетевую организацию представителем заявителя, копия паспорта гражданина Российской Федерации или иного документа, удостоверяющего личность, если заявителем выступает индивидуальный предприниматель;</w:t>
            </w:r>
          </w:p>
          <w:p>
            <w:pPr>
              <w:pStyle w:val="Normal"/>
              <w:widowControl w:val="false"/>
              <w:numPr>
                <w:ilvl w:val="0"/>
                <w:numId w:val="1"/>
              </w:numPr>
              <w:bidi w:val="0"/>
              <w:spacing w:before="0" w:after="200"/>
              <w:ind w:left="0" w:right="0" w:firstLine="709"/>
              <w:contextualSpacing/>
              <w:jc w:val="both"/>
              <w:rPr>
                <w:rFonts w:ascii="Arial" w:hAnsi="Arial" w:eastAsia="Arial" w:cs="Arial"/>
                <w:color w:val="auto"/>
                <w:lang w:val="ru-RU"/>
              </w:rPr>
            </w:pPr>
            <w:r>
              <w:rPr>
                <w:rFonts w:eastAsia="Arial" w:cs="Arial" w:ascii="Arial" w:hAnsi="Arial"/>
                <w:color w:val="000000"/>
                <w:lang w:eastAsia="en-US"/>
              </w:rPr>
              <w:t>д) подписанный заявителем проект договора энергоснабжения (купли-продажи (поставки) электрической энергии (мощности) или протокол разногласий к проекту договора, форма которого размещена (опубликована) гарантирующим поставщиком в соответствии с пунктом 33 Основных положений функционирования розничных рынков электрической энергии (предоставляется по желанию заявителя при намерении заключить договор энергоснабжения (купли-продажи (поставки) электрической энергии (мощности) с гарантирующим поставщиком), с приложением документов, подтверждающих полномочия представителя заявителя на заключение такого договора;</w:t>
            </w:r>
          </w:p>
          <w:p>
            <w:pPr>
              <w:pStyle w:val="Normal"/>
              <w:widowControl w:val="false"/>
              <w:numPr>
                <w:ilvl w:val="0"/>
                <w:numId w:val="1"/>
              </w:numPr>
              <w:bidi w:val="0"/>
              <w:spacing w:before="0" w:after="200"/>
              <w:ind w:left="0" w:right="0" w:firstLine="709"/>
              <w:contextualSpacing/>
              <w:jc w:val="both"/>
              <w:rPr>
                <w:rFonts w:ascii="Arial" w:hAnsi="Arial" w:eastAsia="Arial" w:cs="Arial"/>
                <w:color w:val="auto"/>
                <w:lang w:val="ru-RU"/>
              </w:rPr>
            </w:pPr>
            <w:r>
              <w:rPr>
                <w:rFonts w:eastAsia="Arial" w:cs="Arial" w:ascii="Arial" w:hAnsi="Arial"/>
                <w:color w:val="000000"/>
                <w:lang w:eastAsia="en-US"/>
              </w:rPr>
              <w:t>е) копия договора о комплексном развитии территории, а также копии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градостроительного плана земельного участка</w:t>
            </w:r>
            <w:r>
              <w:rPr>
                <w:rStyle w:val="Style18"/>
                <w:rFonts w:eastAsia="Arial" w:cs="Arial" w:ascii="Arial" w:hAnsi="Arial"/>
                <w:color w:val="000000"/>
                <w:lang w:val="ru-RU" w:eastAsia="en-US" w:bidi="hi-IN"/>
              </w:rPr>
              <w:footnoteReference w:id="4"/>
            </w:r>
            <w:r>
              <w:rPr>
                <w:rFonts w:eastAsia="Arial" w:cs="Arial" w:ascii="Arial" w:hAnsi="Arial"/>
                <w:color w:val="000000"/>
                <w:lang w:eastAsia="en-US"/>
              </w:rPr>
              <w:t>;</w:t>
            </w:r>
          </w:p>
          <w:p>
            <w:pPr>
              <w:pStyle w:val="Normal"/>
              <w:widowControl w:val="false"/>
              <w:numPr>
                <w:ilvl w:val="0"/>
                <w:numId w:val="1"/>
              </w:numPr>
              <w:bidi w:val="0"/>
              <w:spacing w:before="0" w:after="200"/>
              <w:ind w:left="0" w:right="0" w:firstLine="709"/>
              <w:contextualSpacing/>
              <w:jc w:val="both"/>
              <w:rPr>
                <w:rFonts w:ascii="Arial" w:hAnsi="Arial" w:eastAsia="Arial" w:cs="Arial"/>
                <w:color w:val="auto"/>
                <w:lang w:val="ru-RU"/>
              </w:rPr>
            </w:pPr>
            <w:r>
              <w:rPr>
                <w:rFonts w:eastAsia="Arial" w:cs="Arial" w:ascii="Arial" w:hAnsi="Arial"/>
                <w:color w:val="000000"/>
                <w:lang w:eastAsia="en-US"/>
              </w:rPr>
              <w:t>ж) копии решения о предварительном согласовании предоставления земельного участка, утвержденного проекта межевания территории и (или) выданного в соответствии с частью 1.1 статьи 57.3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случае подачи заявки юридическим лицом, созданным Российской Федерацией, субъектом Российской Федерации или муниципальным образованием, иным юридическим лицом – также копии документов, подтверждающих наличие оснований для подачи заявки в случаях, указанных в абзацах третьем и четвертом пункта 8(8) Правил)</w:t>
            </w:r>
            <w:r>
              <w:rPr>
                <w:rStyle w:val="Style18"/>
                <w:rFonts w:eastAsia="Arial" w:cs="Arial" w:ascii="Arial" w:hAnsi="Arial"/>
                <w:color w:val="000000"/>
                <w:lang w:val="ru-RU" w:eastAsia="en-US" w:bidi="hi-IN"/>
              </w:rPr>
              <w:footnoteReference w:id="5"/>
            </w:r>
            <w:r>
              <w:rPr>
                <w:rFonts w:eastAsia="Arial" w:cs="Arial" w:ascii="Arial" w:hAnsi="Arial"/>
                <w:color w:val="000000"/>
                <w:lang w:eastAsia="en-US"/>
              </w:rPr>
              <w:t>;</w:t>
            </w:r>
          </w:p>
          <w:p>
            <w:pPr>
              <w:pStyle w:val="Normal"/>
              <w:widowControl w:val="false"/>
              <w:numPr>
                <w:ilvl w:val="0"/>
                <w:numId w:val="1"/>
              </w:numPr>
              <w:ind w:left="0" w:firstLine="709"/>
              <w:jc w:val="both"/>
              <w:rPr>
                <w:rFonts w:ascii="Arial" w:hAnsi="Arial" w:eastAsia="Arial" w:cs="Arial"/>
                <w:color w:val="auto"/>
                <w:lang w:val="ru-RU"/>
              </w:rPr>
            </w:pPr>
            <w:r>
              <w:rPr>
                <w:rFonts w:eastAsia="Arial" w:cs="Arial" w:ascii="Arial" w:hAnsi="Arial"/>
                <w:color w:val="000000"/>
                <w:lang w:eastAsia="en-US"/>
              </w:rPr>
              <w:t xml:space="preserve">з) при наличии в заявке на технологическое присоединение сведений, </w:t>
            </w:r>
            <w:r>
              <w:rPr>
                <w:rFonts w:eastAsia="Arial" w:cs="Arial" w:ascii="Arial" w:hAnsi="Arial"/>
                <w:color w:val="000000"/>
                <w:lang w:val="ru-RU" w:eastAsia="en-US"/>
              </w:rPr>
              <w:t>предусмотренных</w:t>
            </w:r>
            <w:r>
              <w:rPr>
                <w:rFonts w:eastAsia="Arial" w:cs="Arial" w:ascii="Arial" w:hAnsi="Arial"/>
                <w:color w:val="000000"/>
                <w:lang w:eastAsia="en-US"/>
              </w:rPr>
              <w:t xml:space="preserve"> подпунктом «и(2)» пункта 9 Правил</w:t>
            </w:r>
            <w:r>
              <w:rPr>
                <w:rStyle w:val="Style18"/>
                <w:rFonts w:eastAsia="Arial" w:cs="Arial" w:ascii="Arial" w:hAnsi="Arial"/>
                <w:color w:val="000000"/>
                <w:lang w:val="ru-RU" w:eastAsia="en-US" w:bidi="hi-IN"/>
              </w:rPr>
              <w:footnoteReference w:id="6"/>
            </w:r>
            <w:r>
              <w:rPr>
                <w:rFonts w:eastAsia="Arial" w:cs="Arial" w:ascii="Arial" w:hAnsi="Arial"/>
                <w:color w:val="000000"/>
                <w:lang w:eastAsia="en-US"/>
              </w:rPr>
              <w:t>, – копии проектной документации, либо проекта планировки территории, либо разрешения на строительство, предусматривающих этапы строительства, реконструкции объектов капитального строительства;</w:t>
            </w:r>
          </w:p>
          <w:p>
            <w:pPr>
              <w:pStyle w:val="Normal"/>
              <w:widowControl w:val="false"/>
              <w:numPr>
                <w:ilvl w:val="0"/>
                <w:numId w:val="1"/>
              </w:numPr>
              <w:bidi w:val="0"/>
              <w:spacing w:before="0" w:after="200"/>
              <w:ind w:left="0" w:right="0" w:firstLine="709"/>
              <w:contextualSpacing/>
              <w:jc w:val="both"/>
              <w:rPr>
                <w:rFonts w:ascii="Arial" w:hAnsi="Arial" w:eastAsia="Arial" w:cs="Arial"/>
                <w:color w:val="auto"/>
                <w:lang w:val="ru-RU"/>
              </w:rPr>
            </w:pPr>
            <w:r>
              <w:rPr>
                <w:rFonts w:eastAsia="Arial" w:cs="Arial" w:ascii="Arial" w:hAnsi="Arial"/>
                <w:color w:val="000000"/>
                <w:lang w:eastAsia="en-US"/>
              </w:rPr>
              <w:t>и) в случае технологического присоединения энергопринимающих устройств при строительстве, реконструкции объектов капитального строительства – копия утвержденной в установленном порядке комплексной схемы инженерного обеспечения территории, на которой планируется осуществлять строительство, реконструкцию (при наличии).</w:t>
            </w:r>
          </w:p>
          <w:p>
            <w:pPr>
              <w:pStyle w:val="Normal"/>
              <w:widowControl w:val="false"/>
              <w:suppressAutoHyphens w:val="true"/>
              <w:spacing w:lineRule="auto" w:line="240" w:before="0" w:after="0"/>
              <w:ind w:firstLine="709"/>
              <w:jc w:val="both"/>
              <w:textAlignment w:val="baseline"/>
              <w:rPr>
                <w:rFonts w:ascii="Arial" w:hAnsi="Arial" w:eastAsia="Arial" w:cs="Arial"/>
                <w:kern w:val="2"/>
                <w:sz w:val="24"/>
                <w:szCs w:val="24"/>
                <w:shd w:fill="FFFFFF" w:val="clear"/>
                <w:lang w:bidi="en-US"/>
              </w:rPr>
            </w:pPr>
            <w:r>
              <w:rPr>
                <w:rFonts w:eastAsia="Times New Roman" w:cs="Arial" w:ascii="Arial" w:hAnsi="Arial"/>
                <w:color w:val="000000"/>
                <w:sz w:val="24"/>
                <w:szCs w:val="24"/>
                <w:lang w:eastAsia="ru-RU"/>
              </w:rPr>
            </w:r>
          </w:p>
        </w:tc>
      </w:tr>
      <w:tr>
        <w:trPr/>
        <w:tc>
          <w:tcPr>
            <w:tcW w:w="2459" w:type="dxa"/>
            <w:tcBorders>
              <w:top w:val="single" w:sz="6" w:space="0" w:color="EDEDED"/>
              <w:lef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0070C0"/>
                <w:sz w:val="24"/>
                <w:szCs w:val="24"/>
                <w:lang w:eastAsia="ru-RU"/>
              </w:rPr>
            </w:pPr>
            <w:r>
              <w:rPr>
                <w:rFonts w:eastAsia="Times New Roman" w:cs="Arial" w:ascii="Arial" w:hAnsi="Arial"/>
                <w:b/>
                <w:color w:val="0070C0"/>
                <w:sz w:val="24"/>
                <w:szCs w:val="24"/>
                <w:lang w:eastAsia="ru-RU"/>
              </w:rPr>
              <w:t>Основания для отказа</w:t>
            </w:r>
          </w:p>
        </w:tc>
        <w:tc>
          <w:tcPr>
            <w:tcW w:w="12903" w:type="dxa"/>
            <w:tcBorders>
              <w:top w:val="single" w:sz="6" w:space="0" w:color="EDEDED"/>
              <w:left w:val="single" w:sz="6" w:space="0" w:color="EDEDED"/>
              <w:right w:val="single" w:sz="6" w:space="0" w:color="EDEDED"/>
            </w:tcBorders>
            <w:shd w:color="auto" w:fill="auto" w:val="clear"/>
          </w:tcPr>
          <w:p>
            <w:pPr>
              <w:pStyle w:val="Normal"/>
              <w:widowControl w:val="false"/>
              <w:suppressAutoHyphens w:val="true"/>
              <w:spacing w:lineRule="auto" w:line="240" w:before="0" w:after="0"/>
              <w:ind w:firstLine="709"/>
              <w:jc w:val="both"/>
              <w:textAlignment w:val="baseline"/>
              <w:rPr>
                <w:rFonts w:ascii="Arial" w:hAnsi="Arial" w:eastAsia="Times New Roman" w:cs="Arial"/>
                <w:color w:val="000000"/>
                <w:sz w:val="24"/>
                <w:szCs w:val="24"/>
                <w:lang w:eastAsia="ru-RU"/>
              </w:rPr>
            </w:pPr>
            <w:r>
              <w:rPr>
                <w:rFonts w:eastAsia="Arial" w:cs="Arial" w:ascii="Arial" w:hAnsi="Arial"/>
                <w:kern w:val="2"/>
                <w:sz w:val="24"/>
                <w:szCs w:val="24"/>
                <w:lang w:bidi="en-US"/>
              </w:rPr>
              <w:t>Оснований для отказа в приеме заявления и документов, необходимых для предоставления услуги, не имеется.</w:t>
            </w:r>
          </w:p>
        </w:tc>
      </w:tr>
      <w:tr>
        <w:trPr/>
        <w:tc>
          <w:tcPr>
            <w:tcW w:w="2459" w:type="dxa"/>
            <w:tcBorders>
              <w:top w:val="single" w:sz="6" w:space="0" w:color="EDEDED"/>
              <w:lef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0070C0"/>
                <w:sz w:val="24"/>
                <w:szCs w:val="24"/>
                <w:lang w:eastAsia="ru-RU"/>
              </w:rPr>
            </w:pPr>
            <w:r>
              <w:rPr>
                <w:rFonts w:eastAsia="Times New Roman" w:cs="Arial" w:ascii="Arial" w:hAnsi="Arial"/>
                <w:b/>
                <w:color w:val="0070C0"/>
                <w:sz w:val="24"/>
                <w:szCs w:val="24"/>
                <w:lang w:eastAsia="ru-RU"/>
              </w:rPr>
              <w:t>Результат</w:t>
            </w:r>
          </w:p>
        </w:tc>
        <w:tc>
          <w:tcPr>
            <w:tcW w:w="12903" w:type="dxa"/>
            <w:tcBorders>
              <w:top w:val="single" w:sz="6" w:space="0" w:color="EDEDED"/>
              <w:left w:val="single" w:sz="6" w:space="0" w:color="EDEDED"/>
              <w:right w:val="single" w:sz="6" w:space="0" w:color="EDEDED"/>
            </w:tcBorders>
            <w:shd w:color="auto" w:fill="auto" w:val="clear"/>
          </w:tcPr>
          <w:p>
            <w:pPr>
              <w:pStyle w:val="Normal"/>
              <w:widowControl w:val="false"/>
              <w:spacing w:lineRule="auto" w:line="240" w:before="0" w:after="0"/>
              <w:ind w:firstLine="709"/>
              <w:contextualSpacing/>
              <w:jc w:val="both"/>
              <w:textAlignment w:val="auto"/>
              <w:rPr>
                <w:rFonts w:ascii="Arial" w:hAnsi="Arial" w:eastAsia="Times New Roman" w:cs="Arial"/>
                <w:color w:val="000000"/>
                <w:sz w:val="24"/>
                <w:szCs w:val="24"/>
                <w:lang w:eastAsia="ru-RU"/>
              </w:rPr>
            </w:pPr>
            <w:r>
              <w:rPr>
                <w:rFonts w:eastAsia="Arial" w:cs="Arial" w:ascii="Arial" w:hAnsi="Arial"/>
                <w:color w:val="000000"/>
                <w:sz w:val="24"/>
                <w:szCs w:val="24"/>
                <w:lang w:eastAsia="en-US" w:bidi="en-US"/>
              </w:rPr>
              <w:t>Результатом предоставления услуги является выдача заявителю (представителю заявителя) договора об осуществлении технологического присоединения к электрическим сетям, с приложением технических условий (условий типового договора об осуществлении технологического присоединения к электрическим сетям; счета на оплату услуг технологического присоединения; подписанные со стороны сетевой организации технических условий, содержащих перечень мероприятий по технологическому присоединению, а также срок выполнения мероприятий по технологическому присоединению со стороны заявителя и сетевой организации; инструкции, содержащей последовательный перечень мероприятий, обеспечивающих безопасное осуществление действиями заявителя фактического присоединения и фактического приема напряжения и мощности).</w:t>
            </w:r>
          </w:p>
        </w:tc>
      </w:tr>
      <w:tr>
        <w:trPr/>
        <w:tc>
          <w:tcPr>
            <w:tcW w:w="2459" w:type="dxa"/>
            <w:tcBorders>
              <w:top w:val="single" w:sz="6" w:space="0" w:color="EDEDED"/>
              <w:lef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0070C0"/>
                <w:sz w:val="24"/>
                <w:szCs w:val="24"/>
                <w:lang w:eastAsia="ru-RU"/>
              </w:rPr>
            </w:pPr>
            <w:r>
              <w:rPr>
                <w:rFonts w:eastAsia="Times New Roman" w:cs="Arial" w:ascii="Arial" w:hAnsi="Arial"/>
                <w:b/>
                <w:color w:val="0070C0"/>
                <w:sz w:val="24"/>
                <w:szCs w:val="24"/>
                <w:lang w:eastAsia="ru-RU"/>
              </w:rPr>
              <w:t>Срок предоставления услуги</w:t>
            </w:r>
          </w:p>
        </w:tc>
        <w:tc>
          <w:tcPr>
            <w:tcW w:w="12903" w:type="dxa"/>
            <w:tcBorders>
              <w:top w:val="single" w:sz="6" w:space="0" w:color="EDEDED"/>
              <w:left w:val="single" w:sz="6" w:space="0" w:color="EDEDED"/>
              <w:right w:val="single" w:sz="6" w:space="0" w:color="EDEDED"/>
            </w:tcBorders>
            <w:shd w:color="auto" w:fill="auto" w:val="clear"/>
          </w:tcPr>
          <w:p>
            <w:pPr>
              <w:pStyle w:val="Normal"/>
              <w:widowControl w:val="false"/>
              <w:tabs>
                <w:tab w:val="clear" w:pos="708"/>
                <w:tab w:val="left" w:pos="720" w:leader="none"/>
              </w:tabs>
              <w:spacing w:before="0" w:after="0"/>
              <w:ind w:firstLine="709"/>
              <w:contextualSpacing/>
              <w:jc w:val="both"/>
              <w:rPr/>
            </w:pPr>
            <w:r>
              <w:rPr>
                <w:rFonts w:eastAsia="Arial" w:cs="Arial" w:ascii="Arial" w:hAnsi="Arial"/>
                <w:lang w:eastAsia="en-US" w:bidi="en-US"/>
              </w:rPr>
              <w:t>- 10 (десять) рабочих дней со дня поступления заявки на технологическое присоединение, направляемой юридическим лицом или индивидуальным предпринимателем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w:t>
            </w:r>
          </w:p>
          <w:p>
            <w:pPr>
              <w:pStyle w:val="Normal"/>
              <w:widowControl w:val="false"/>
              <w:tabs>
                <w:tab w:val="clear" w:pos="708"/>
                <w:tab w:val="left" w:pos="720" w:leader="none"/>
              </w:tabs>
              <w:spacing w:lineRule="auto" w:line="240" w:before="0" w:after="0"/>
              <w:ind w:firstLine="709"/>
              <w:contextualSpacing/>
              <w:jc w:val="both"/>
              <w:rPr>
                <w:rFonts w:ascii="Arial" w:hAnsi="Arial" w:eastAsia="Times New Roman" w:cs="Arial"/>
                <w:color w:val="000000"/>
                <w:sz w:val="24"/>
                <w:szCs w:val="24"/>
                <w:lang w:eastAsia="ru-RU"/>
              </w:rPr>
            </w:pPr>
            <w:r>
              <w:rPr>
                <w:rFonts w:eastAsia="Arial" w:cs="Arial" w:ascii="Arial" w:hAnsi="Arial"/>
                <w:color w:val="000000"/>
                <w:sz w:val="24"/>
                <w:szCs w:val="24"/>
                <w:lang w:eastAsia="en-US" w:bidi="en-US"/>
              </w:rPr>
              <w:t>-  20 (двадцать) рабочих дней со дня поступления заявки на технологическое присоединение, за исключением рассмотрения заявки на технологическое присоединение (более 150 кВт)</w:t>
            </w:r>
          </w:p>
          <w:p>
            <w:pPr>
              <w:pStyle w:val="Normal"/>
              <w:widowControl w:val="false"/>
              <w:spacing w:lineRule="auto" w:line="240" w:before="0" w:after="0"/>
              <w:rPr>
                <w:rFonts w:ascii="Arial" w:hAnsi="Arial" w:eastAsia="Times New Roman" w:cs="Arial"/>
                <w:color w:val="000000"/>
                <w:sz w:val="24"/>
                <w:szCs w:val="24"/>
                <w:lang w:eastAsia="ru-RU"/>
              </w:rPr>
            </w:pPr>
            <w:r>
              <w:rPr>
                <w:rFonts w:eastAsia="Times New Roman" w:cs="Arial" w:ascii="Arial" w:hAnsi="Arial"/>
                <w:color w:val="000000"/>
                <w:sz w:val="24"/>
                <w:szCs w:val="24"/>
                <w:lang w:eastAsia="ru-RU"/>
              </w:rPr>
            </w:r>
          </w:p>
        </w:tc>
      </w:tr>
      <w:tr>
        <w:trPr>
          <w:trHeight w:val="412" w:hRule="atLeast"/>
        </w:trPr>
        <w:tc>
          <w:tcPr>
            <w:tcW w:w="2459" w:type="dxa"/>
            <w:tcBorders>
              <w:top w:val="single" w:sz="6" w:space="0" w:color="EDEDED"/>
              <w:lef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0070C0"/>
                <w:sz w:val="24"/>
                <w:szCs w:val="24"/>
                <w:lang w:eastAsia="ru-RU"/>
              </w:rPr>
            </w:pPr>
            <w:r>
              <w:rPr>
                <w:rFonts w:eastAsia="Times New Roman" w:cs="Arial" w:ascii="Arial" w:hAnsi="Arial"/>
                <w:b/>
                <w:color w:val="0070C0"/>
                <w:sz w:val="24"/>
                <w:szCs w:val="24"/>
                <w:lang w:eastAsia="ru-RU"/>
              </w:rPr>
              <w:t>Стоимость</w:t>
            </w:r>
          </w:p>
        </w:tc>
        <w:tc>
          <w:tcPr>
            <w:tcW w:w="12903" w:type="dxa"/>
            <w:tcBorders>
              <w:top w:val="single" w:sz="6" w:space="0" w:color="EDEDED"/>
              <w:left w:val="single" w:sz="6" w:space="0" w:color="EDEDED"/>
              <w:right w:val="single" w:sz="6" w:space="0" w:color="EDEDED"/>
            </w:tcBorders>
            <w:shd w:color="auto" w:fill="auto" w:val="clear"/>
          </w:tcPr>
          <w:p>
            <w:pPr>
              <w:pStyle w:val="Normal"/>
              <w:widowControl w:val="false"/>
              <w:spacing w:lineRule="auto" w:line="240" w:before="0" w:after="0"/>
              <w:rPr>
                <w:rFonts w:ascii="Arial" w:hAnsi="Arial" w:eastAsia="Times New Roman" w:cs="Arial"/>
                <w:color w:val="000000"/>
                <w:sz w:val="24"/>
                <w:szCs w:val="24"/>
                <w:lang w:eastAsia="ru-RU"/>
              </w:rPr>
            </w:pPr>
            <w:r>
              <w:rPr>
                <w:rFonts w:eastAsia="Times New Roman" w:cs="Arial" w:ascii="Arial" w:hAnsi="Arial"/>
                <w:color w:val="000000"/>
                <w:sz w:val="24"/>
                <w:szCs w:val="24"/>
                <w:lang w:eastAsia="ru-RU"/>
              </w:rPr>
              <w:t>Плата за предоставление услуги не взимается</w:t>
            </w:r>
            <w:bookmarkStart w:id="1" w:name="_GoBack"/>
            <w:bookmarkEnd w:id="1"/>
            <w:r>
              <w:rPr>
                <w:rFonts w:eastAsia="Times New Roman" w:cs="Arial" w:ascii="Arial" w:hAnsi="Arial"/>
                <w:color w:val="000000"/>
                <w:sz w:val="24"/>
                <w:szCs w:val="24"/>
                <w:lang w:eastAsia="ru-RU"/>
              </w:rPr>
              <w:t>.</w:t>
            </w:r>
          </w:p>
        </w:tc>
      </w:tr>
      <w:tr>
        <w:trPr>
          <w:trHeight w:val="412" w:hRule="atLeast"/>
        </w:trPr>
        <w:tc>
          <w:tcPr>
            <w:tcW w:w="2459" w:type="dxa"/>
            <w:tcBorders>
              <w:left w:val="single" w:sz="6" w:space="0" w:color="EDEDED"/>
            </w:tcBorders>
            <w:shd w:color="auto" w:fill="FAFAFA" w:val="clear"/>
          </w:tcPr>
          <w:p>
            <w:pPr>
              <w:pStyle w:val="Normal"/>
              <w:widowControl w:val="false"/>
              <w:spacing w:lineRule="auto" w:line="240" w:before="0" w:after="0"/>
              <w:rPr>
                <w:rFonts w:ascii="Arial" w:hAnsi="Arial" w:eastAsia="Times New Roman" w:cs="Arial"/>
                <w:b/>
                <w:b/>
                <w:color w:val="0070C0"/>
                <w:sz w:val="24"/>
                <w:szCs w:val="24"/>
                <w:lang w:eastAsia="ru-RU"/>
              </w:rPr>
            </w:pPr>
            <w:r>
              <w:rPr>
                <w:rFonts w:eastAsia="Times New Roman" w:cs="Arial" w:ascii="Arial" w:hAnsi="Arial"/>
                <w:b/>
                <w:color w:val="0070C0"/>
                <w:sz w:val="24"/>
                <w:szCs w:val="24"/>
                <w:lang w:eastAsia="ru-RU"/>
              </w:rPr>
            </w:r>
          </w:p>
        </w:tc>
        <w:tc>
          <w:tcPr>
            <w:tcW w:w="12903" w:type="dxa"/>
            <w:tcBorders>
              <w:left w:val="single" w:sz="6" w:space="0" w:color="EDEDED"/>
              <w:right w:val="single" w:sz="6" w:space="0" w:color="EDEDED"/>
            </w:tcBorders>
            <w:shd w:color="auto" w:fill="auto" w:val="clear"/>
          </w:tcPr>
          <w:p>
            <w:pPr>
              <w:pStyle w:val="Normal"/>
              <w:widowControl w:val="false"/>
              <w:spacing w:lineRule="auto" w:line="240" w:before="0" w:after="0"/>
              <w:rPr>
                <w:rFonts w:ascii="Arial" w:hAnsi="Arial" w:eastAsia="Times New Roman" w:cs="Arial"/>
                <w:color w:val="000000"/>
                <w:sz w:val="24"/>
                <w:szCs w:val="24"/>
                <w:lang w:eastAsia="ru-RU"/>
              </w:rPr>
            </w:pPr>
            <w:r>
              <w:rPr>
                <w:rFonts w:eastAsia="Times New Roman" w:cs="Arial" w:ascii="Arial" w:hAnsi="Arial"/>
                <w:color w:val="000000"/>
                <w:sz w:val="24"/>
                <w:szCs w:val="24"/>
                <w:lang w:eastAsia="ru-RU"/>
              </w:rPr>
            </w:r>
          </w:p>
        </w:tc>
      </w:tr>
    </w:tbl>
    <w:p>
      <w:pPr>
        <w:pStyle w:val="Normal"/>
        <w:widowControl/>
        <w:bidi w:val="0"/>
        <w:spacing w:lineRule="auto" w:line="276" w:before="0" w:after="200"/>
        <w:jc w:val="left"/>
        <w:rPr/>
      </w:pPr>
      <w:r>
        <w:rPr/>
      </w:r>
    </w:p>
    <w:sectPr>
      <w:footnotePr>
        <w:numFmt w:val="decimal"/>
      </w:footnotePr>
      <w:type w:val="nextPage"/>
      <w:pgSz w:orient="landscape" w:w="16838" w:h="11906"/>
      <w:pgMar w:left="851" w:right="1134" w:header="0" w:top="426" w:footer="0" w:bottom="85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7"/>
        <w:widowControl w:val="false"/>
        <w:suppressAutoHyphens w:val="true"/>
        <w:bidi w:val="0"/>
        <w:spacing w:before="0" w:after="200"/>
        <w:ind w:left="0" w:right="0" w:hanging="0"/>
        <w:jc w:val="both"/>
        <w:textAlignment w:val="baseline"/>
        <w:rPr/>
      </w:pPr>
      <w:r>
        <w:rPr>
          <w:rStyle w:val="Style19"/>
        </w:rPr>
        <w:footnoteRef/>
      </w:r>
      <w:r>
        <w:rPr>
          <w:rFonts w:eastAsia="Arial" w:cs="Arial" w:ascii="Arial" w:hAnsi="Arial"/>
          <w:color w:val="000000"/>
          <w:kern w:val="2"/>
          <w:sz w:val="18"/>
          <w:szCs w:val="18"/>
          <w:lang w:val="ru-RU" w:eastAsia="en-US" w:bidi="hi-IN"/>
        </w:rPr>
        <w:t>Рекомендуется: выкопировка из плана города в масштабе 1:500 и 1:2000 или фрагмент карты 2ГИС, либо на формах В2, В6 выписки из кадастрового паспорта земельного участка. Принимается любой формат, позволяющий определить адресное местонахождение объекта заявителя и точки (точек) подключения на плане.</w:t>
      </w:r>
    </w:p>
  </w:footnote>
  <w:footnote w:id="3">
    <w:p>
      <w:pPr>
        <w:pStyle w:val="Style27"/>
        <w:widowControl w:val="false"/>
        <w:suppressAutoHyphens w:val="true"/>
        <w:bidi w:val="0"/>
        <w:ind w:left="0" w:right="0" w:hanging="0"/>
        <w:jc w:val="both"/>
        <w:textAlignment w:val="baseline"/>
        <w:rPr>
          <w:lang w:val="ru-RU"/>
        </w:rPr>
      </w:pPr>
      <w:r>
        <w:rPr>
          <w:rStyle w:val="Style19"/>
        </w:rPr>
        <w:footnoteRef/>
      </w:r>
      <w:r>
        <w:rPr>
          <w:rFonts w:eastAsia="SimSun" w:cs="Arial" w:ascii="Arial" w:hAnsi="Arial"/>
          <w:kern w:val="2"/>
          <w:sz w:val="18"/>
          <w:szCs w:val="18"/>
          <w:lang w:val="ru-RU" w:eastAsia="zh-CN" w:bidi="hi-IN"/>
        </w:rPr>
        <w:t>н) в случае подачи заявки на основании пункта 8(7) настоящих Правил - копия договора о комплексном развитии территории, а также копии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градостроительного плана земельного участка;</w:t>
      </w:r>
    </w:p>
    <w:p>
      <w:pPr>
        <w:pStyle w:val="Style27"/>
        <w:widowControl w:val="false"/>
        <w:spacing w:before="0" w:after="200"/>
        <w:rPr/>
      </w:pPr>
      <w:r>
        <w:rPr>
          <w:rFonts w:eastAsia="SimSun" w:cs="Arial" w:ascii="Arial" w:hAnsi="Arial"/>
          <w:kern w:val="2"/>
          <w:sz w:val="18"/>
          <w:szCs w:val="18"/>
          <w:lang w:val="ru-RU" w:eastAsia="zh-CN" w:bidi="hi-IN"/>
        </w:rPr>
        <w:t>о) в случае подачи заявки на основании пункта 8(8) настоящих Правил - копии решения о предварительном согласовании предоставления земельного участка, утвержденного проекта межевания территории и (или) выданного в соответствии с частью 1.1 статьи 57.3 Градостроительного кодекса Российской Федерации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случае подачи заявки юридическим лицом, созданным Российской Федерацией, субъектом Российской Федерации или муниципальным образованием, иным юридическим лицом - также копии документов, подтверждающих наличие оснований для подачи заявки в случаях, указанных в абзацах третьем и четвертом пункта 8(8) настоящих Правил).</w:t>
      </w:r>
    </w:p>
  </w:footnote>
  <w:footnote w:id="4">
    <w:p>
      <w:pPr>
        <w:pStyle w:val="Normal"/>
        <w:widowControl w:val="false"/>
        <w:bidi w:val="0"/>
        <w:ind w:left="0" w:right="0" w:hanging="0"/>
        <w:jc w:val="both"/>
        <w:textAlignment w:val="auto"/>
        <w:rPr>
          <w:lang w:val="ru-RU"/>
        </w:rPr>
      </w:pPr>
      <w:r>
        <w:rPr>
          <w:rStyle w:val="Style19"/>
        </w:rPr>
        <w:footnoteRef/>
      </w:r>
      <w:r>
        <w:rPr>
          <w:rFonts w:eastAsia="SimSun" w:cs="Arial" w:ascii="Arial" w:hAnsi="Arial"/>
          <w:kern w:val="0"/>
          <w:sz w:val="18"/>
          <w:szCs w:val="18"/>
          <w:lang w:val="ru-RU" w:eastAsia="ru-RU" w:bidi="ar-SA"/>
        </w:rPr>
        <w:t xml:space="preserve">В целях технологического присоединения энергопринимающих устройств, которые находятся или будут находиться в объектах капитального строительства, подлежащих строительству или реконструкции при комплексном развитии территории, лицом, с которым в соответствии с Градостроительным </w:t>
      </w:r>
      <w:hyperlink r:id="rId1">
        <w:r>
          <w:rPr>
            <w:rFonts w:eastAsia="SimSun" w:cs="Arial" w:ascii="Arial" w:hAnsi="Arial"/>
            <w:kern w:val="0"/>
            <w:sz w:val="18"/>
            <w:szCs w:val="18"/>
            <w:lang w:val="ru-RU" w:eastAsia="ru-RU" w:bidi="ar-SA"/>
          </w:rPr>
          <w:t>кодексом</w:t>
        </w:r>
      </w:hyperlink>
      <w:r>
        <w:rPr>
          <w:rFonts w:eastAsia="SimSun" w:cs="Arial" w:ascii="Arial" w:hAnsi="Arial"/>
          <w:kern w:val="0"/>
          <w:sz w:val="18"/>
          <w:szCs w:val="18"/>
          <w:lang w:val="ru-RU" w:eastAsia="ru-RU" w:bidi="ar-SA"/>
        </w:rPr>
        <w:t xml:space="preserve"> Российской Федерации заключен договор о комплексном развитии соответствующей территории;</w:t>
      </w:r>
    </w:p>
    <w:p>
      <w:pPr>
        <w:pStyle w:val="Style27"/>
        <w:widowControl w:val="false"/>
        <w:spacing w:before="0" w:after="200"/>
        <w:rPr/>
      </w:pPr>
      <w:r>
        <w:rPr/>
      </w:r>
    </w:p>
  </w:footnote>
  <w:footnote w:id="5">
    <w:p>
      <w:pPr>
        <w:pStyle w:val="Normal"/>
        <w:widowControl w:val="false"/>
        <w:bidi w:val="0"/>
        <w:ind w:left="0" w:right="0" w:hanging="0"/>
        <w:jc w:val="both"/>
        <w:textAlignment w:val="auto"/>
        <w:rPr>
          <w:lang w:val="ru-RU"/>
        </w:rPr>
      </w:pPr>
      <w:r>
        <w:rPr>
          <w:rStyle w:val="Style19"/>
        </w:rPr>
        <w:footnoteRef/>
      </w:r>
      <w:bookmarkStart w:id="2" w:name="Par0"/>
      <w:bookmarkEnd w:id="2"/>
      <w:r>
        <w:rPr>
          <w:rFonts w:eastAsia="SimSun" w:cs="Arial" w:ascii="Arial" w:hAnsi="Arial"/>
          <w:kern w:val="0"/>
          <w:sz w:val="18"/>
          <w:szCs w:val="18"/>
          <w:lang w:val="ru-RU" w:eastAsia="ru-RU" w:bidi="ar-SA"/>
        </w:rPr>
        <w:t xml:space="preserve">В целях технологического присоединения энергопринимающих устройств при строительстве объектов федерального значения, объектов регионального значения, объектов местного значения в случаях, предусмотренных </w:t>
      </w:r>
      <w:hyperlink r:id="rId2">
        <w:r>
          <w:rPr>
            <w:rFonts w:eastAsia="SimSun" w:cs="Arial" w:ascii="Arial" w:hAnsi="Arial"/>
            <w:kern w:val="0"/>
            <w:sz w:val="18"/>
            <w:szCs w:val="18"/>
            <w:lang w:val="ru-RU" w:eastAsia="ru-RU" w:bidi="ar-SA"/>
          </w:rPr>
          <w:t>частями 1.1</w:t>
        </w:r>
      </w:hyperlink>
      <w:r>
        <w:rPr>
          <w:rFonts w:eastAsia="SimSun" w:cs="Arial" w:ascii="Arial" w:hAnsi="Arial"/>
          <w:kern w:val="0"/>
          <w:sz w:val="18"/>
          <w:szCs w:val="18"/>
          <w:lang w:val="ru-RU" w:eastAsia="ru-RU" w:bidi="ar-SA"/>
        </w:rPr>
        <w:t xml:space="preserve"> и </w:t>
      </w:r>
      <w:hyperlink r:id="rId3">
        <w:r>
          <w:rPr>
            <w:rFonts w:eastAsia="SimSun" w:cs="Arial" w:ascii="Arial" w:hAnsi="Arial"/>
            <w:kern w:val="0"/>
            <w:sz w:val="18"/>
            <w:szCs w:val="18"/>
            <w:lang w:val="ru-RU" w:eastAsia="ru-RU" w:bidi="ar-SA"/>
          </w:rPr>
          <w:t>1.2 статьи 48</w:t>
        </w:r>
      </w:hyperlink>
      <w:r>
        <w:rPr>
          <w:rFonts w:eastAsia="SimSun" w:cs="Arial" w:ascii="Arial" w:hAnsi="Arial"/>
          <w:kern w:val="0"/>
          <w:sz w:val="18"/>
          <w:szCs w:val="18"/>
          <w:lang w:val="ru-RU" w:eastAsia="ru-RU" w:bidi="ar-SA"/>
        </w:rPr>
        <w:t xml:space="preserve">, </w:t>
      </w:r>
      <w:hyperlink r:id="rId4">
        <w:r>
          <w:rPr>
            <w:rFonts w:eastAsia="SimSun" w:cs="Arial" w:ascii="Arial" w:hAnsi="Arial"/>
            <w:kern w:val="0"/>
            <w:sz w:val="18"/>
            <w:szCs w:val="18"/>
            <w:lang w:val="ru-RU" w:eastAsia="ru-RU" w:bidi="ar-SA"/>
          </w:rPr>
          <w:t>частью 7.3 статьи 51</w:t>
        </w:r>
      </w:hyperlink>
      <w:r>
        <w:rPr>
          <w:rFonts w:eastAsia="SimSun" w:cs="Arial" w:ascii="Arial" w:hAnsi="Arial"/>
          <w:kern w:val="0"/>
          <w:sz w:val="18"/>
          <w:szCs w:val="18"/>
          <w:lang w:val="ru-RU" w:eastAsia="ru-RU" w:bidi="ar-SA"/>
        </w:rPr>
        <w:t xml:space="preserve"> Градостроительного кодекса Российской Федерации, при отсутствии правоустанавливающих документов на земельный участок заявка может быть подана федеральным органом исполнительной власти, органом исполнительной власти субъекта Российской Федерации, органом местного самоуправления.</w:t>
      </w:r>
    </w:p>
    <w:p>
      <w:pPr>
        <w:pStyle w:val="Normal"/>
        <w:widowControl w:val="false"/>
        <w:bidi w:val="0"/>
        <w:ind w:left="0" w:right="0" w:hanging="0"/>
        <w:jc w:val="both"/>
        <w:textAlignment w:val="auto"/>
        <w:rPr>
          <w:lang w:val="ru-RU"/>
        </w:rPr>
      </w:pPr>
      <w:r>
        <w:rPr>
          <w:rFonts w:eastAsia="SimSun" w:cs="Arial" w:ascii="Arial" w:hAnsi="Arial"/>
          <w:kern w:val="0"/>
          <w:sz w:val="18"/>
          <w:szCs w:val="18"/>
          <w:lang w:val="ru-RU" w:eastAsia="ru-RU" w:bidi="ar-SA"/>
        </w:rPr>
        <w:t xml:space="preserve">В соответствии с положениями </w:t>
      </w:r>
      <w:hyperlink w:anchor="Par0">
        <w:r>
          <w:rPr>
            <w:rFonts w:eastAsia="SimSun" w:cs="Arial" w:ascii="Arial" w:hAnsi="Arial"/>
            <w:kern w:val="0"/>
            <w:sz w:val="18"/>
            <w:szCs w:val="18"/>
            <w:lang w:val="ru-RU" w:eastAsia="ru-RU" w:bidi="ar-SA"/>
          </w:rPr>
          <w:t>абзаца первого</w:t>
        </w:r>
      </w:hyperlink>
      <w:r>
        <w:rPr>
          <w:rFonts w:eastAsia="SimSun" w:cs="Arial" w:ascii="Arial" w:hAnsi="Arial"/>
          <w:kern w:val="0"/>
          <w:sz w:val="18"/>
          <w:szCs w:val="18"/>
          <w:lang w:val="ru-RU" w:eastAsia="ru-RU" w:bidi="ar-SA"/>
        </w:rPr>
        <w:t xml:space="preserve"> настоящего пункта в отношении объектов федерального значения, объектов регионального значения, объектов местного значения заявка также может быть подана юридическим лицом, созданным Российской Федерацией, субъектом Российской Федерации или муниципальным образованием, иным юридическим лицом в следующих случаях:</w:t>
      </w:r>
    </w:p>
    <w:p>
      <w:pPr>
        <w:pStyle w:val="Normal"/>
        <w:widowControl w:val="false"/>
        <w:bidi w:val="0"/>
        <w:ind w:left="0" w:right="0" w:hanging="0"/>
        <w:jc w:val="both"/>
        <w:textAlignment w:val="auto"/>
        <w:rPr>
          <w:lang w:val="ru-RU"/>
        </w:rPr>
      </w:pPr>
      <w:r>
        <w:rPr>
          <w:rFonts w:eastAsia="SimSun" w:cs="Arial" w:ascii="Arial" w:hAnsi="Arial"/>
          <w:kern w:val="0"/>
          <w:sz w:val="18"/>
          <w:szCs w:val="18"/>
          <w:lang w:val="ru-RU" w:eastAsia="ru-RU" w:bidi="ar-SA"/>
        </w:rPr>
        <w:t>- строительство, реконструкция объектов капитального строительства в рамках национального (федерального) проекта, государственной программы Российской Федерации, государственной программы субъекта Российской Федерации, муниципальной программы;</w:t>
      </w:r>
    </w:p>
    <w:p>
      <w:pPr>
        <w:pStyle w:val="Style27"/>
        <w:widowControl w:val="false"/>
        <w:suppressAutoHyphens w:val="true"/>
        <w:bidi w:val="0"/>
        <w:spacing w:before="0" w:after="200"/>
        <w:ind w:left="0" w:right="0" w:hanging="0"/>
        <w:jc w:val="both"/>
        <w:textAlignment w:val="baseline"/>
        <w:rPr>
          <w:lang w:val="ru-RU"/>
        </w:rPr>
      </w:pPr>
      <w:r>
        <w:rPr>
          <w:rFonts w:eastAsia="SimSun" w:cs="Arial" w:ascii="Arial" w:hAnsi="Arial"/>
          <w:kern w:val="0"/>
          <w:sz w:val="18"/>
          <w:szCs w:val="18"/>
          <w:lang w:val="ru-RU" w:eastAsia="ru-RU" w:bidi="ar-SA"/>
        </w:rPr>
        <w:t>- строительство, реконструкция объектов капитального строительства, финансируемое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капиталах которых Российской Федерации, субъектов Российской Федерации, муниципальных образований составляет более 50 процентов.</w:t>
      </w:r>
    </w:p>
  </w:footnote>
  <w:footnote w:id="6">
    <w:p>
      <w:pPr>
        <w:pStyle w:val="Style27"/>
        <w:widowControl w:val="false"/>
        <w:spacing w:before="0" w:after="200"/>
        <w:rPr/>
      </w:pPr>
      <w:r>
        <w:rPr>
          <w:rStyle w:val="Style19"/>
        </w:rPr>
        <w:footnoteRef/>
      </w:r>
      <w:r>
        <w:rPr>
          <w:rFonts w:eastAsia="SimSun" w:cs="Arial" w:ascii="Arial" w:hAnsi="Arial"/>
          <w:kern w:val="2"/>
          <w:sz w:val="18"/>
          <w:szCs w:val="18"/>
          <w:lang w:val="ru-RU" w:eastAsia="zh-CN" w:bidi="hi-IN"/>
        </w:rPr>
        <w:t>Этапы строительства, реконструкции объектов капитального строительства (в которых расположены или будут располагаться присоединяемые энергопринимающие устройства), предусмотренных проектной документацией, проектом планировки территории, разрешением на строительство.</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3"/>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f730b"/>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unhideWhenUsed/>
    <w:qFormat/>
    <w:rPr/>
  </w:style>
  <w:style w:type="character" w:styleId="Style14" w:customStyle="1">
    <w:name w:val="Текст выноски Знак"/>
    <w:basedOn w:val="DefaultParagraphFont"/>
    <w:link w:val="a3"/>
    <w:uiPriority w:val="99"/>
    <w:semiHidden/>
    <w:qFormat/>
    <w:rsid w:val="00236378"/>
    <w:rPr>
      <w:rFonts w:ascii="Tahoma" w:hAnsi="Tahoma" w:cs="Tahoma"/>
      <w:sz w:val="16"/>
      <w:szCs w:val="16"/>
    </w:rPr>
  </w:style>
  <w:style w:type="character" w:styleId="Style15">
    <w:name w:val="Интернет-ссылка"/>
    <w:basedOn w:val="DefaultParagraphFont"/>
    <w:uiPriority w:val="99"/>
    <w:unhideWhenUsed/>
    <w:rsid w:val="00554a4c"/>
    <w:rPr>
      <w:color w:val="0000FF" w:themeColor="hyperlink"/>
      <w:u w:val="single"/>
    </w:rPr>
  </w:style>
  <w:style w:type="character" w:styleId="Style16">
    <w:name w:val="Основной шрифт абзаца"/>
    <w:qFormat/>
    <w:rPr/>
  </w:style>
  <w:style w:type="character" w:styleId="Style17">
    <w:name w:val="Текст сноски Знак"/>
    <w:basedOn w:val="DefaultParagraphFont"/>
    <w:qFormat/>
    <w:rPr>
      <w:rFonts w:cs="Mangal"/>
      <w:sz w:val="18"/>
      <w:szCs w:val="18"/>
    </w:rPr>
  </w:style>
  <w:style w:type="character" w:styleId="Style18">
    <w:name w:val="Привязка сноски"/>
    <w:rPr>
      <w:vertAlign w:val="superscript"/>
    </w:rPr>
  </w:style>
  <w:style w:type="character" w:styleId="FootnoteCharacters">
    <w:name w:val="Footnote Characters"/>
    <w:qFormat/>
    <w:rPr>
      <w:vertAlign w:val="superscript"/>
    </w:rPr>
  </w:style>
  <w:style w:type="character" w:styleId="Style19">
    <w:name w:val="Символ сноски"/>
    <w:qFormat/>
    <w:rPr/>
  </w:style>
  <w:style w:type="character" w:styleId="Style20">
    <w:name w:val="Привязка концевой сноски"/>
    <w:rPr>
      <w:vertAlign w:val="superscript"/>
    </w:rPr>
  </w:style>
  <w:style w:type="character" w:styleId="Style21">
    <w:name w:val="Символ концевой сноски"/>
    <w:qFormat/>
    <w:rPr/>
  </w:style>
  <w:style w:type="paragraph" w:styleId="Style22">
    <w:name w:val="Заголовок"/>
    <w:basedOn w:val="Normal"/>
    <w:next w:val="Style23"/>
    <w:qFormat/>
    <w:pPr>
      <w:keepNext w:val="true"/>
      <w:spacing w:before="240" w:after="120"/>
    </w:pPr>
    <w:rPr>
      <w:rFonts w:ascii="Liberation Sans" w:hAnsi="Liberation Sans" w:eastAsia="Microsoft YaHei" w:cs="Mangal"/>
      <w:sz w:val="28"/>
      <w:szCs w:val="28"/>
    </w:rPr>
  </w:style>
  <w:style w:type="paragraph" w:styleId="Style23">
    <w:name w:val="Body Text"/>
    <w:basedOn w:val="Normal"/>
    <w:pPr>
      <w:spacing w:lineRule="auto" w:line="276" w:before="0" w:after="140"/>
    </w:pPr>
    <w:rPr/>
  </w:style>
  <w:style w:type="paragraph" w:styleId="Style24">
    <w:name w:val="List"/>
    <w:basedOn w:val="Style23"/>
    <w:pPr/>
    <w:rPr>
      <w:rFonts w:cs="Mangal"/>
    </w:rPr>
  </w:style>
  <w:style w:type="paragraph" w:styleId="Style25">
    <w:name w:val="Caption"/>
    <w:basedOn w:val="Normal"/>
    <w:qFormat/>
    <w:pPr>
      <w:suppressLineNumbers/>
      <w:spacing w:before="120" w:after="120"/>
    </w:pPr>
    <w:rPr>
      <w:rFonts w:cs="Mangal"/>
      <w:i/>
      <w:iCs/>
      <w:sz w:val="24"/>
      <w:szCs w:val="24"/>
    </w:rPr>
  </w:style>
  <w:style w:type="paragraph" w:styleId="Style26">
    <w:name w:val="Указатель"/>
    <w:basedOn w:val="Normal"/>
    <w:qFormat/>
    <w:pPr>
      <w:suppressLineNumbers/>
    </w:pPr>
    <w:rPr>
      <w:rFonts w:cs="Mangal"/>
    </w:rPr>
  </w:style>
  <w:style w:type="paragraph" w:styleId="BalloonText">
    <w:name w:val="Balloon Text"/>
    <w:basedOn w:val="Normal"/>
    <w:link w:val="a4"/>
    <w:uiPriority w:val="99"/>
    <w:semiHidden/>
    <w:unhideWhenUsed/>
    <w:qFormat/>
    <w:rsid w:val="00236378"/>
    <w:pPr>
      <w:spacing w:lineRule="auto" w:line="240" w:before="0" w:after="0"/>
    </w:pPr>
    <w:rPr>
      <w:rFonts w:ascii="Tahoma" w:hAnsi="Tahoma" w:cs="Tahoma"/>
      <w:sz w:val="16"/>
      <w:szCs w:val="16"/>
    </w:rPr>
  </w:style>
  <w:style w:type="paragraph" w:styleId="ConsPlusNormal" w:customStyle="1">
    <w:name w:val="ConsPlusNormal"/>
    <w:qFormat/>
    <w:rsid w:val="00554a4c"/>
    <w:pPr>
      <w:widowControl w:val="false"/>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Standard" w:customStyle="1">
    <w:name w:val="Standard"/>
    <w:qFormat/>
    <w:rsid w:val="001875e0"/>
    <w:pPr>
      <w:widowControl w:val="false"/>
      <w:suppressAutoHyphens w:val="true"/>
      <w:bidi w:val="0"/>
      <w:spacing w:lineRule="auto" w:line="240" w:before="0" w:after="0"/>
      <w:jc w:val="left"/>
      <w:textAlignment w:val="baseline"/>
    </w:pPr>
    <w:rPr>
      <w:rFonts w:ascii="Calibri" w:hAnsi="Calibri" w:eastAsia="Lucida Sans Unicode" w:cs="Tahoma"/>
      <w:color w:val="000000"/>
      <w:kern w:val="2"/>
      <w:sz w:val="24"/>
      <w:szCs w:val="24"/>
      <w:lang w:val="en-US" w:eastAsia="en-US" w:bidi="en-US"/>
    </w:rPr>
  </w:style>
  <w:style w:type="paragraph" w:styleId="NormalTable">
    <w:name w:val="Normal Table"/>
    <w:qFormat/>
    <w:pPr>
      <w:widowControl/>
      <w:suppressAutoHyphens w:val="true"/>
      <w:bidi w:val="0"/>
      <w:spacing w:before="0" w:after="0"/>
      <w:jc w:val="left"/>
      <w:textAlignment w:val="auto"/>
    </w:pPr>
    <w:rPr>
      <w:rFonts w:ascii="Times New Roman" w:hAnsi="Times New Roman" w:eastAsia="SimSun" w:cs="Times New Roman"/>
      <w:color w:val="auto"/>
      <w:kern w:val="0"/>
      <w:sz w:val="20"/>
      <w:szCs w:val="20"/>
      <w:lang w:val="ru-RU" w:eastAsia="ru-RU" w:bidi="ar-SA"/>
    </w:rPr>
  </w:style>
  <w:style w:type="paragraph" w:styleId="Style27">
    <w:name w:val="Footnote Text"/>
    <w:basedOn w:val="Normal"/>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consultantplus://offline/ref=73ABC1CAA4C201747E31D437C71471837E3CEFE1423027A2BFA454D6AD4F1042759E1ED87F2E5E6060159B8604t3vBE" TargetMode="External"/><Relationship Id="rId2" Type="http://schemas.openxmlformats.org/officeDocument/2006/relationships/hyperlink" Target="consultantplus://offline/ref=30DCCF983E909DC3E180296F1D662ACCAA21E470D787232670E34D908D966B6B12E1EB4C03FC536C736A2780B590C9D0D31B86D627CCA4y8E" TargetMode="External"/><Relationship Id="rId3" Type="http://schemas.openxmlformats.org/officeDocument/2006/relationships/hyperlink" Target="consultantplus://offline/ref=30DCCF983E909DC3E180296F1D662ACCAA21E470D787232670E34D908D966B6B12E1EB4C03FC5C6C736A2780B590C9D0D31B86D627CCA4y8E" TargetMode="External"/><Relationship Id="rId4" Type="http://schemas.openxmlformats.org/officeDocument/2006/relationships/hyperlink" Target="consultantplus://offline/ref=30DCCF983E909DC3E180296F1D662ACCAA21E470D787232670E34D908D966B6B12E1EB4C07F5556C736A2780B590C9D0D31B86D627CCA4y8E"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Application>LibreOffice/7.0.0.3$Windows_X86_64 LibreOffice_project/8061b3e9204bef6b321a21033174034a5e2ea88e</Application>
  <Pages>5</Pages>
  <Words>1176</Words>
  <Characters>9413</Characters>
  <CharactersWithSpaces>10542</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2018-05-28T04:16:00Z</dcterms:created>
  <dc:creator>Надежда Николаевна Плотникова</dc:creator>
  <dc:description/>
  <dc:language>ru-RU</dc:language>
  <cp:lastModifiedBy/>
  <cp:lastPrinted>2019-01-16T08:51:00Z</cp:lastPrinted>
  <dcterms:modified xsi:type="dcterms:W3CDTF">2023-04-04T09:51:20Z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