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100" w:type="dxa"/>
        <w:jc w:val="left"/>
        <w:tblInd w:w="-318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166"/>
        <w:gridCol w:w="12933"/>
      </w:tblGrid>
      <w:tr>
        <w:trPr>
          <w:trHeight w:val="571" w:hRule="atLeast"/>
        </w:trPr>
        <w:tc>
          <w:tcPr>
            <w:tcW w:w="31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293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 xml:space="preserve">Выдача разрешения на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проведение</w:t>
            </w: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 xml:space="preserve"> земляных работ</w:t>
            </w:r>
          </w:p>
        </w:tc>
      </w:tr>
      <w:tr>
        <w:trPr>
          <w:trHeight w:val="542" w:hRule="atLeast"/>
        </w:trPr>
        <w:tc>
          <w:tcPr>
            <w:tcW w:w="31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293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hyperlink r:id="rId2">
              <w:r>
                <w:rPr>
                  <w:rFonts w:cs="Arial" w:ascii="Arial" w:hAnsi="Arial"/>
                  <w:b w:val="false"/>
                  <w:color w:val="000000"/>
                  <w:sz w:val="22"/>
                  <w:szCs w:val="22"/>
                </w:rPr>
                <w:t>Постановление Администрации города Кургана № 8679 от 26.12.2019 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«Выдача разрешения на проведение земляных работ»</w:t>
              </w:r>
            </w:hyperlink>
            <w:r>
              <w:rPr>
                <w:rFonts w:cs="Arial" w:ascii="Arial" w:hAnsi="Arial"/>
                <w:b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b w:val="false"/>
                <w:color w:val="000000"/>
                <w:sz w:val="22"/>
                <w:szCs w:val="22"/>
              </w:rPr>
              <w:t>(в ред. ПАГ от 09.03.2023 г. № 1566)</w:t>
            </w:r>
          </w:p>
        </w:tc>
      </w:tr>
      <w:tr>
        <w:trPr>
          <w:trHeight w:val="542" w:hRule="atLeast"/>
        </w:trPr>
        <w:tc>
          <w:tcPr>
            <w:tcW w:w="3166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293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Администрация города Кургана</w:t>
            </w:r>
          </w:p>
        </w:tc>
      </w:tr>
      <w:tr>
        <w:trPr>
          <w:trHeight w:val="568" w:hRule="atLeast"/>
        </w:trPr>
        <w:tc>
          <w:tcPr>
            <w:tcW w:w="31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293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Департаментом развития городского хозяйства Администрации города Кургана.</w:t>
            </w:r>
          </w:p>
        </w:tc>
      </w:tr>
      <w:tr>
        <w:trPr>
          <w:trHeight w:val="568" w:hRule="atLeast"/>
        </w:trPr>
        <w:tc>
          <w:tcPr>
            <w:tcW w:w="3166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2"/>
                <w:szCs w:val="22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93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Отдел оформления документов на производство земляных работ муниципального казенного учреждения «Административно-техническая инспекция города Кургана» г. Курган, ул. Гоголя, дом 16, кабинет № 11. </w:t>
              <w:br/>
              <w:t>Часы работы: Пн-Чт с 8:15 ч. до 17:30 ч., обед с 12:00 ч. до 13:00 ч.; Пт с 8:30 ч. до 16:30 ч., обед с 12:00 ч. до 13:00 ч.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ru-RU" w:eastAsia="ru-RU"/>
              </w:rPr>
              <w:t>42-82-47 (доб. 5434, 5434, 5436, 5437) - отдел оформления документов на производство земляных работ.</w:t>
            </w:r>
          </w:p>
        </w:tc>
      </w:tr>
      <w:tr>
        <w:trPr>
          <w:trHeight w:val="568" w:hRule="atLeast"/>
        </w:trPr>
        <w:tc>
          <w:tcPr>
            <w:tcW w:w="3166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PT Astra Serif"/>
                <w:b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Arial" w:hAnsi="Arial"/>
                <w:b/>
                <w:bCs/>
                <w:color w:val="000000"/>
                <w:sz w:val="22"/>
                <w:szCs w:val="22"/>
                <w:lang w:eastAsia="ru-RU"/>
              </w:rPr>
              <w:t>В рамках муниципальной услуги оказываются следующие подуслуги:</w:t>
            </w:r>
          </w:p>
        </w:tc>
        <w:tc>
          <w:tcPr>
            <w:tcW w:w="1293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 xml:space="preserve">подуслуга 1: </w:t>
            </w:r>
            <w:r>
              <w:rPr>
                <w:rFonts w:cs="PT Astra Serif" w:ascii="Arial" w:hAnsi="Arial"/>
                <w:sz w:val="22"/>
                <w:szCs w:val="22"/>
              </w:rPr>
              <w:t>«Выдача разрешения  на проведение земляных работ»</w:t>
            </w:r>
            <w:r>
              <w:rPr>
                <w:rFonts w:cs="PT Astra Serif" w:ascii="Arial" w:hAnsi="Arial"/>
                <w:bCs/>
                <w:sz w:val="22"/>
                <w:szCs w:val="22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Arial" w:hAnsi="Arial"/>
                <w:bCs/>
                <w:color w:val="000000"/>
                <w:sz w:val="22"/>
                <w:szCs w:val="22"/>
                <w:lang w:eastAsia="ru-RU"/>
              </w:rPr>
              <w:t xml:space="preserve">подуслуга 2: «Продление срока действия </w:t>
            </w:r>
            <w:r>
              <w:rPr>
                <w:rFonts w:eastAsia="Times New Roman" w:cs="PT Astra Serif" w:ascii="Arial" w:hAnsi="Arial"/>
                <w:color w:val="000000"/>
                <w:sz w:val="22"/>
                <w:szCs w:val="22"/>
                <w:lang w:eastAsia="ru-RU"/>
              </w:rPr>
              <w:t>разрешения на проведение земляных работ»</w:t>
            </w:r>
            <w:r>
              <w:rPr>
                <w:rFonts w:eastAsia="Times New Roman" w:cs="PT Astra Serif" w:ascii="Arial" w:hAnsi="Arial"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2"/>
                <w:szCs w:val="22"/>
                <w:lang w:eastAsia="ru-RU"/>
              </w:rPr>
              <w:t>Под</w:t>
            </w:r>
            <w:r>
              <w:rPr>
                <w:rFonts w:eastAsia="Times New Roman" w:cs="Arial" w:ascii="Arial" w:hAnsi="Arial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ача документов производится</w:t>
            </w:r>
            <w:r>
              <w:rPr>
                <w:rFonts w:eastAsia="Times New Roman" w:cs="Arial" w:ascii="Arial" w:hAnsi="Arial"/>
                <w:bCs/>
                <w:color w:val="000000"/>
                <w:sz w:val="22"/>
                <w:szCs w:val="22"/>
                <w:lang w:eastAsia="ru-RU"/>
              </w:rPr>
              <w:t xml:space="preserve"> не менее чем за 3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дня</w:t>
            </w:r>
            <w:r>
              <w:rPr>
                <w:rFonts w:eastAsia="Times New Roman" w:cs="Arial" w:ascii="Arial" w:hAnsi="Arial"/>
                <w:bCs/>
                <w:color w:val="000000"/>
                <w:sz w:val="22"/>
                <w:szCs w:val="22"/>
                <w:lang w:eastAsia="ru-RU"/>
              </w:rPr>
              <w:t xml:space="preserve"> до истечения срока действия разрешения на проведение земляных работ.</w:t>
            </w:r>
          </w:p>
        </w:tc>
      </w:tr>
      <w:tr>
        <w:trPr/>
        <w:tc>
          <w:tcPr>
            <w:tcW w:w="31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Заявители</w:t>
            </w:r>
          </w:p>
        </w:tc>
        <w:tc>
          <w:tcPr>
            <w:tcW w:w="1293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gbinding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Физическое или юридиче</w:t>
            </w:r>
            <w:bookmarkStart w:id="0" w:name="_GoBack"/>
            <w:bookmarkEnd w:id="0"/>
            <w:r>
              <w:rPr>
                <w:rFonts w:cs="Arial" w:ascii="Arial" w:hAnsi="Arial"/>
                <w:sz w:val="22"/>
                <w:szCs w:val="22"/>
              </w:rPr>
              <w:t>ское лицо, индивидуальный предприниматель</w:t>
            </w:r>
          </w:p>
        </w:tc>
      </w:tr>
      <w:tr>
        <w:trPr/>
        <w:tc>
          <w:tcPr>
            <w:tcW w:w="31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293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0" w:right="0" w:hanging="0"/>
              <w:jc w:val="both"/>
              <w:rPr>
                <w:rFonts w:ascii="Arial" w:hAnsi="Arial"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Arial" w:hAnsi="Arial"/>
                <w:b/>
                <w:bCs/>
                <w:sz w:val="22"/>
                <w:szCs w:val="22"/>
                <w:lang w:eastAsia="ru-RU"/>
              </w:rPr>
              <w:t xml:space="preserve">Подуслуга 1: </w:t>
            </w: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 xml:space="preserve">Выдача разрешения на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проведение</w:t>
            </w: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 xml:space="preserve"> земляных работ: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1) З</w:t>
            </w:r>
            <w:hyperlink r:id="rId3">
              <w:r>
                <w:rPr>
                  <w:rFonts w:eastAsia="Times New Roman" w:cs="Arial" w:ascii="Arial" w:hAnsi="Arial"/>
                  <w:sz w:val="22"/>
                  <w:szCs w:val="22"/>
                  <w:lang w:eastAsia="ru-RU"/>
                </w:rPr>
                <w:t>аявление</w:t>
              </w:r>
            </w:hyperlink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2) Сводный план инженерных сетей, рассмотренный Департаментом архитектуры, строительства и земельных отношений (срок рассмотрения Департаментом - 1 рабочий день), согласованный МКУ «Управление дорожного хозяйства и благоустройства города Кургана» и другими соответствующими организациями, ответственными за эксплуатацию коммуникаций, расположенных на участке проведения работ (</w:t>
            </w: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eastAsia="ru-RU"/>
              </w:rPr>
              <w:t>действителен один год</w:t>
            </w: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), сводный план и согласования на одном листе;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3) Схема места проведения работ с указанием сроков проведения работ, границ участка работ, складирования материалов, установки информационных табличек, знаков и ограждений, и, при необходимости, пешеходных мостиков;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4) </w:t>
            </w: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eastAsia="ru-RU"/>
              </w:rPr>
              <w:t xml:space="preserve">для юридических лиц </w:t>
            </w: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- копия приказа или иных документов о назначении лица, ответственного за проведение земляных работ;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5) доверенность от заявителя, оформленная в установленном порядке представителю подрядной организации, являющемуся ответственным за проведение работ</w:t>
            </w: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6) схема организации движения транспорта, пешеходов и ограждения мест проведения дорожных работ, рассмотренная в ОГИБДД УМВД России по г. Кургану на предмет соответствия обеспечения безопасности дорожного движения (с соответствующей отметкой на схеме), согласованная с МКУ «Транспортное управление» (при проведении земляных работ на маршрутах регулярных перевозок пассажиров автомобильным транспортом).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7) материалы фотосъемки земельного участка до осуществления земляных работ. Материалы фотосъемки земельного участка до осуществления земляных работ оформляются в виде фототаблицы, которая утверждается подписью и печатью (при наличии) заявителя. При фотосъемке земельного участка, на котором планируется осуществить земляные работы, фиксируется территория земельного участка, объекты (элементы) благоустройства и малые архитектурные формы, а также зеленые насаждения, расположенные в месте планируемого осуществления земляных работ.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br/>
            </w: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eastAsia="ru-RU"/>
              </w:rPr>
              <w:t xml:space="preserve">В зависимости от места расположения и вида производимых работ заявитель предоставляет: </w:t>
            </w: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br/>
              <w:t xml:space="preserve">- согласованную и утвержденную в установленном порядке </w:t>
            </w:r>
            <w:r>
              <w:rPr>
                <w:rFonts w:eastAsia="Times New Roman" w:cs="Arial" w:ascii="Arial" w:hAnsi="Arial"/>
                <w:b/>
                <w:bCs/>
                <w:i/>
                <w:iCs/>
                <w:sz w:val="22"/>
                <w:szCs w:val="22"/>
                <w:lang w:eastAsia="ru-RU"/>
              </w:rPr>
              <w:t>проектную документацию</w:t>
            </w: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 (при проведении земляных работ, связанных со строительством, реконструкцией объектов);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bCs/>
                <w:color w:val="000000"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/>
                <w:b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Arial" w:hAnsi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Подуслуга 2: </w:t>
            </w: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Продление срока действия разрешения на п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роведение</w:t>
            </w: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 xml:space="preserve"> земляных работ: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ru-RU"/>
              </w:rPr>
              <w:t>Под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ача документов производится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не менее чем за 3 дня до истечения срока действия разрешения на проведение земляных работ.</w:t>
            </w:r>
          </w:p>
          <w:p>
            <w:pPr>
              <w:pStyle w:val="Style1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</w:r>
          </w:p>
          <w:p>
            <w:pPr>
              <w:pStyle w:val="Style17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1) З</w:t>
            </w:r>
            <w:hyperlink r:id="rId4">
              <w:r>
                <w:rPr>
                  <w:rFonts w:eastAsia="Times New Roman" w:cs="Arial" w:ascii="Arial" w:hAnsi="Arial"/>
                  <w:sz w:val="22"/>
                  <w:szCs w:val="22"/>
                  <w:lang w:eastAsia="ru-RU"/>
                </w:rPr>
                <w:t>аявление</w:t>
              </w:r>
            </w:hyperlink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 на продление разрешения на проведение земляных работ, с указанием: </w:t>
              <w:br/>
              <w:t xml:space="preserve">- </w:t>
            </w:r>
            <w:r>
              <w:rPr>
                <w:rFonts w:eastAsia="Times New Roman" w:cs="Arial" w:ascii="Arial" w:hAnsi="Arial"/>
                <w:color w:val="auto"/>
                <w:kern w:val="0"/>
                <w:sz w:val="22"/>
                <w:szCs w:val="22"/>
                <w:lang w:val="ru-RU" w:eastAsia="ru-RU" w:bidi="ar-SA"/>
              </w:rPr>
              <w:t>ФИО</w:t>
            </w: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, почтового адреса, контактного телефона - для физических лиц; </w:t>
              <w:br/>
              <w:t xml:space="preserve">- полного наименования, почтового адреса, контактного телефона, должности, Ф.И.О. руководителя - для юридических лиц; </w:t>
              <w:br/>
              <w:t>- причины превышения сроков проведения работ, с уточнением срока окончания работ;</w:t>
            </w:r>
          </w:p>
          <w:p>
            <w:pPr>
              <w:pStyle w:val="Style1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2) Подлинник разрешения на проведение земляных работ;</w:t>
            </w:r>
          </w:p>
          <w:p>
            <w:pPr>
              <w:pStyle w:val="Style1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3) График проведения работ;</w:t>
            </w:r>
          </w:p>
          <w:p>
            <w:pPr>
              <w:pStyle w:val="Style1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4) Документы, подтверждающие причины продления срока действия разрешения (в зависимости от причин продления к таким документам могут быть отнесены: акт обследования объекта, акт о выявленных дефектах, акт о результатах гидравлических испытаний, наряд на проведение работ по устранению аварийной ситуации, проектная документация или иные документы, обосновывающие продление).</w:t>
            </w:r>
          </w:p>
        </w:tc>
      </w:tr>
      <w:tr>
        <w:trPr>
          <w:trHeight w:val="885" w:hRule="atLeast"/>
        </w:trPr>
        <w:tc>
          <w:tcPr>
            <w:tcW w:w="31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Необязательные документы</w:t>
            </w:r>
          </w:p>
        </w:tc>
        <w:tc>
          <w:tcPr>
            <w:tcW w:w="1293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eastAsia="Times New Roman"/>
                <w:b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Arial" w:hAnsi="Arial"/>
                <w:b/>
                <w:bCs/>
                <w:sz w:val="22"/>
                <w:szCs w:val="22"/>
                <w:u w:val="none"/>
                <w:lang w:eastAsia="ru-RU"/>
              </w:rPr>
              <w:t xml:space="preserve">Подуслуга 1: </w:t>
            </w: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u w:val="none"/>
                <w:lang w:eastAsia="ru-RU"/>
              </w:rPr>
              <w:t xml:space="preserve">Выдача разрешения на </w:t>
            </w: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2"/>
                <w:szCs w:val="22"/>
                <w:u w:val="none"/>
                <w:lang w:val="ru-RU" w:eastAsia="ru-RU" w:bidi="ar-SA"/>
              </w:rPr>
              <w:t>проведение</w:t>
            </w: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u w:val="none"/>
                <w:lang w:eastAsia="ru-RU"/>
              </w:rPr>
              <w:t xml:space="preserve"> земляных работ:</w:t>
            </w:r>
          </w:p>
          <w:p>
            <w:pPr>
              <w:pStyle w:val="Style17"/>
              <w:widowControl w:val="false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1) Постановление Администрации города Кургана о закрытии улиц (в случае, если проведение работ связанно с закрытием улиц или изменением маршрутов движения общественного транспорта)</w:t>
            </w:r>
          </w:p>
          <w:p>
            <w:pPr>
              <w:pStyle w:val="Style17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Разрешение на строительство (при проведении земляных работ, связанных со строительством, реконструкцией) на земельном участке.</w:t>
            </w:r>
          </w:p>
        </w:tc>
      </w:tr>
      <w:tr>
        <w:trPr/>
        <w:tc>
          <w:tcPr>
            <w:tcW w:w="31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93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2"/>
                <w:szCs w:val="22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u w:val="none"/>
                <w:shd w:fill="auto" w:val="clear"/>
                <w:lang w:val="ru-RU" w:eastAsia="ru-RU"/>
              </w:rPr>
              <w:t>Выдача результата муниципальной услуги заявителю обеспечивается Департаментом!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2"/>
                <w:szCs w:val="22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u w:val="none"/>
                <w:shd w:fill="auto" w:val="clear"/>
                <w:lang w:val="ru-RU" w:eastAsia="ru-RU"/>
              </w:rPr>
              <w:t>(лично в ведомстве)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u w:val="single"/>
                <w:lang w:eastAsia="ru-RU"/>
              </w:rPr>
              <w:t>При выдаче разрешения на проведение земляных работ</w:t>
            </w: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1. выдача заявителю разрешения на проведение земляных работ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2. отказ в выдаче разрешения.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При продлении разрешения на проведение земляных работ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выдача заявителю разрешения на проведение земляных работ с продленным сроком действия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отказ в продлении разрешения.</w:t>
            </w:r>
          </w:p>
        </w:tc>
      </w:tr>
      <w:tr>
        <w:trPr/>
        <w:tc>
          <w:tcPr>
            <w:tcW w:w="31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Срок предоставления услуги</w:t>
            </w:r>
          </w:p>
        </w:tc>
        <w:tc>
          <w:tcPr>
            <w:tcW w:w="1293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eastAsia="ru-RU"/>
              </w:rPr>
              <w:t xml:space="preserve">Выдача разрешения </w:t>
            </w: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на </w:t>
            </w:r>
            <w:r>
              <w:rPr>
                <w:rFonts w:eastAsia="Times New Roman" w:cs="Arial" w:ascii="Arial" w:hAnsi="Arial"/>
                <w:color w:val="auto"/>
                <w:kern w:val="0"/>
                <w:sz w:val="22"/>
                <w:szCs w:val="22"/>
                <w:lang w:val="ru-RU" w:eastAsia="ru-RU" w:bidi="ar-SA"/>
              </w:rPr>
              <w:t>проведение</w:t>
            </w: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 земляных работ: не более 10 рабочих дней со дня поступления заявления о выдаче разрешения и документов.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eastAsia="ru-RU"/>
              </w:rPr>
              <w:t>Продление разрешения</w:t>
            </w: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 на </w:t>
            </w:r>
            <w:r>
              <w:rPr>
                <w:rFonts w:eastAsia="Times New Roman" w:cs="Arial" w:ascii="Arial" w:hAnsi="Arial"/>
                <w:color w:val="auto"/>
                <w:kern w:val="0"/>
                <w:sz w:val="22"/>
                <w:szCs w:val="22"/>
                <w:lang w:val="ru-RU" w:eastAsia="ru-RU" w:bidi="ar-SA"/>
              </w:rPr>
              <w:t>проведение</w:t>
            </w: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 земляных  работ: не более 3  дней со дня поступления заявления на продление разрешения и документов.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>
          <w:trHeight w:val="523" w:hRule="atLeast"/>
        </w:trPr>
        <w:tc>
          <w:tcPr>
            <w:tcW w:w="316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293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Муниципальная услуга предоставляется на бесплатной основе.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urgan-city.ru/upload/iblock/9d9/&#1047;&#1077;&#1084;&#1083;&#1103;&#1085;&#1099;&#1077; &#1088;&#1072;&#1073;&#1086;&#1090;&#1099;.doc" TargetMode="External"/><Relationship Id="rId3" Type="http://schemas.openxmlformats.org/officeDocument/2006/relationships/hyperlink" Target="https://www.kurgan-city.ru/about/form/892502/" TargetMode="External"/><Relationship Id="rId4" Type="http://schemas.openxmlformats.org/officeDocument/2006/relationships/hyperlink" Target="https://www.kurgan-city.ru/about/form/987599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LibreOffice/7.0.4.2$Windows_X86_64 LibreOffice_project/dcf040e67528d9187c66b2379df5ea4407429775</Application>
  <AppVersion>15.0000</AppVersion>
  <Pages>3</Pages>
  <Words>746</Words>
  <Characters>5243</Characters>
  <CharactersWithSpaces>5946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2019-04-08T03:32:00Z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2025-09-15T16:26:55Z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