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993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Муниципальная услуга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по в</w:t>
            </w:r>
            <w:r>
              <w:rPr>
                <w:rStyle w:val="1"/>
                <w:rFonts w:eastAsia="Arial-Bold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Юргамышского муниципального округа Курганской области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.</w:t>
            </w:r>
          </w:p>
        </w:tc>
      </w:tr>
      <w:tr>
        <w:trPr>
          <w:trHeight w:val="596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323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</w:rPr>
              <w:t xml:space="preserve">изические лица, 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before="0" w:after="0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заявление;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" w:cs="Liberation Serif" w:ascii="Arial" w:hAnsi="Arial"/>
                <w:sz w:val="24"/>
                <w:szCs w:val="24"/>
              </w:rPr>
              <w:t>- копии документов, удостоверяющих личность заявителя или представителя заявителя (для заявителей - физических лиц)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eastAsia="Arial" w:cs="Liberation Serif" w:ascii="Arial" w:hAnsi="Arial"/>
                <w:bCs/>
                <w:color w:val="000000"/>
                <w:spacing w:val="-3"/>
                <w:sz w:val="24"/>
                <w:szCs w:val="24"/>
                <w:lang w:val="ru-RU"/>
              </w:rPr>
              <w:t>- схема границ предполагаемых к использованию земель или части земельного участка на кадастровом плане территории с указанием характерных точек границ территории – в случае, если планируется использование земель или части земельного участка (с использованием системы координат, применяемой при ведении государственного кадастра недвижимости);</w:t>
            </w:r>
          </w:p>
          <w:p>
            <w:pPr>
              <w:pStyle w:val="NoSpacing"/>
              <w:widowControl w:val="false"/>
              <w:ind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MT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ArialMT" w:cs="Liberation Serif" w:ascii="Arial" w:hAnsi="Arial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eastAsia="ArialMT" w:cs="Liberation Serif" w:ascii="Arial" w:hAnsi="Arial"/>
                <w:color w:val="000000"/>
                <w:sz w:val="24"/>
                <w:szCs w:val="24"/>
              </w:rPr>
              <w:t>остановление Администрации о выдаче разрешения на использование земельного участка;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- 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ru-RU" w:bidi="ru-RU"/>
              </w:rPr>
              <w:t>р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ешение Администрации об отказе в выдаче разрешения и направление принятого решения заявителю.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5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9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декабря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года № 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4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7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7</w:t>
            </w:r>
            <w:r>
              <w:rPr>
                <w:rStyle w:val="1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в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Application>LibreOffice/7.0.4.2$Windows_X86_64 LibreOffice_project/dcf040e67528d9187c66b2379df5ea4407429775</Application>
  <AppVersion>15.0000</AppVersion>
  <Pages>2</Pages>
  <Words>225</Words>
  <Characters>1810</Characters>
  <CharactersWithSpaces>2015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2024-12-17T15:07:10Z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