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autoSpaceDE w:val="false"/>
              <w:spacing w:lineRule="auto" w:line="240" w:before="0" w:after="5"/>
              <w:ind w:right="21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 по присвоению адреса объекту адресации, изменению и аннулированию такого адреса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>
            <w:pPr>
              <w:pStyle w:val="Normal"/>
              <w:spacing w:before="0" w:after="5"/>
              <w:ind w:left="50" w:right="21" w:hanging="0"/>
              <w:jc w:val="both"/>
              <w:rPr>
                <w:rFonts w:ascii="Arial" w:hAnsi="Arial" w:cs="Liberation Serif"/>
                <w:color w:val="000000"/>
              </w:rPr>
            </w:pPr>
            <w:r>
              <w:rPr>
                <w:rFonts w:cs="Liberation Serif" w:ascii="Arial" w:hAnsi="Arial"/>
                <w:color w:val="000000"/>
              </w:rPr>
      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      </w:r>
          </w:p>
          <w:p>
            <w:pPr>
              <w:pStyle w:val="Normal"/>
              <w:bidi w:val="0"/>
              <w:spacing w:before="0" w:after="5"/>
              <w:ind w:left="50" w:right="21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5"/>
              <w:ind w:right="21"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color w:val="000000"/>
              </w:rPr>
              <w:t>- выдача (направление) Постановление Администрации о присвоении адреса объекту адресации;</w:t>
            </w:r>
          </w:p>
          <w:p>
            <w:pPr>
              <w:pStyle w:val="Normal"/>
              <w:spacing w:before="0" w:after="5"/>
              <w:ind w:right="21"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color w:val="000000"/>
              </w:rPr>
              <w:t>- выдача (направление) Постановления Юргамышского района об аннулировании адреса объекта адресации;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autoSpaceDE w:val="false"/>
              <w:bidi w:val="0"/>
              <w:spacing w:lineRule="auto" w:line="240" w:before="0" w:after="5"/>
              <w:ind w:right="21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выдача (направление) решения Администрации об отказе в присвоении объекту адресации адреса или аннулировании его адреса.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18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от 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февраля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65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Администрацией Юргамышского муниципального округа Курганской области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1"/>
                <w:szCs w:val="21"/>
                <w:shd w:fill="auto" w:val="clear"/>
                <w:lang w:eastAsia="zh-CN" w:bidi="hi-IN"/>
              </w:rPr>
              <w:t>муниципальной услуги по присвоению адреса объекту адресации,</w:t>
            </w:r>
            <w:r>
              <w:rPr>
                <w:rFonts w:eastAsia="Liberation Serif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изменению и аннулированию такого адреса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2</Pages>
  <Words>459</Words>
  <Characters>3418</Characters>
  <CharactersWithSpaces>3848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2024-12-18T11:19:31Z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