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юридические лица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PT Astra Serif"/>
                <w:b w:val="false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Направление уведомления о соответствии (о несоответствии)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Юргамышского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Style w:val="FontStyle20"/>
                <w:rFonts w:eastAsia="Times New Roman" w:cs="PT Astra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zxx" w:bidi="zxx"/>
              </w:rPr>
              <w:t xml:space="preserve">Направление уведомления о соответствии (о несоответствии) указанных в уведомлении о планируемом строительстве </w:t>
            </w:r>
            <w:r>
              <w:rPr>
                <w:rStyle w:val="FontStyle20"/>
                <w:rFonts w:eastAsia="Calibri" w:cs="PT Astra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zxx" w:bidi="zxx"/>
              </w:rPr>
              <w:t>или реконструкции параметров</w:t>
            </w:r>
            <w:r>
              <w:rPr>
                <w:rStyle w:val="FontStyle20"/>
                <w:rFonts w:eastAsia="Times New Roman" w:cs="PT Astra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zxx" w:bidi="zxx"/>
              </w:rPr>
      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Юргамышского муниципального округа Курганской области:</w:t>
            </w:r>
          </w:p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/>
              </w:rPr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 xml:space="preserve">уведомление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 xml:space="preserve">о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>планируемом строительстве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земельный участок  (если права на него не зарегистрированы В ЕГРН;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,если застройщиком является иностранное юридическое лицо);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eastAsia="Calibri" w:cs="PT Astra Serif"/>
                <w:shd w:fill="FFFFFF" w:val="clear"/>
                <w:lang w:val="ru-RU" w:eastAsia="en-US" w:bidi="zxx"/>
              </w:rPr>
            </w:pPr>
            <w:r>
              <w:rPr>
                <w:rFonts w:eastAsia="Calibri" w:cs="Arial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>-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>описание внешнего облика объекта индивидуального жилищного строительства или садового дома (в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 Градостроительного кодекса Российской Федерации).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eastAsia="Calibri" w:cs="PT Astra Serif"/>
                <w:shd w:fill="FFFFFF" w:val="clear"/>
                <w:lang w:val="ru-RU" w:eastAsia="en-US" w:bidi="zxx"/>
              </w:rPr>
            </w:pPr>
            <w:r>
              <w:rPr>
                <w:rFonts w:eastAsia="Calibri" w:cs="Arial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</w:r>
          </w:p>
          <w:p>
            <w:pPr>
              <w:pStyle w:val="Style24"/>
              <w:widowControl/>
              <w:suppressAutoHyphens w:val="false"/>
              <w:bidi w:val="0"/>
              <w:spacing w:lineRule="auto" w:line="240" w:before="0" w:after="200"/>
              <w:ind w:left="0" w:right="0" w:hanging="0"/>
              <w:jc w:val="both"/>
              <w:rPr>
                <w:rFonts w:eastAsia="Calibri" w:cs="PT Astra Serif"/>
                <w:shd w:fill="FFFFFF" w:val="clear"/>
                <w:lang w:val="ru-RU" w:eastAsia="en-US" w:bidi="zxx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zxx" w:bidi="zxx"/>
              </w:rPr>
              <w:t>Выдача дубликата уведомления: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заявление;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документ, удостоверяющий личность;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 w:bidi="zxx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zxx" w:bidi="zxx"/>
              </w:rPr>
              <w:t>- 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color w:val="auto"/>
                <w:lang w:eastAsia="zxx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 w:bidi="zxx"/>
              </w:rPr>
            </w:r>
          </w:p>
          <w:p>
            <w:pPr>
              <w:pStyle w:val="Style24"/>
              <w:widowControl/>
              <w:suppressAutoHyphens w:val="false"/>
              <w:spacing w:lineRule="auto" w:line="240" w:before="0" w:after="200"/>
              <w:ind w:left="0" w:right="0" w:hanging="0"/>
              <w:jc w:val="both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 w:bidi="zxx"/>
              </w:rPr>
              <w:t>Исправление ошибок в уведомлении: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заявление;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документ, удостоверяющий личность;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 w:bidi="zxx"/>
              </w:rPr>
              <w:t>- 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Style24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before="0" w:after="29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PT Astra Serif" w:ascii="Arial" w:hAnsi="Arial"/>
                <w:bCs/>
                <w:color w:val="000000"/>
              </w:rPr>
              <w:t xml:space="preserve">-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уведомления о соответствии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указанных в уведомлении о планируемом строительстве параметров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объекта индивидуального жилищного строительства или садового дома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eastAsia="Calibri" w:cs="PT Astra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en-US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zxx" w:bidi="zxx"/>
              </w:rPr>
              <w:t>- уведомление о несоответствии в случае наличия оснований, указанных в пункте 2.20 настоящего Административного регламента.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Курганской области от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4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октября 2022 №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237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 утверждении Административного регламента  предоставления Администрацией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 xml:space="preserve">Юргамышского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муниципального округа Курганской области муниципальной услуги «Направление уведомления о соответствии (о несоответствии) указанных в уведомлении о планируемом строительстве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или реконструкции параметров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>
    <w:name w:val="Style2"/>
    <w:basedOn w:val="Normal"/>
    <w:qFormat/>
    <w:pPr>
      <w:spacing w:lineRule="exact" w:line="233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Application>LibreOffice/7.0.4.2$Windows_X86_64 LibreOffice_project/dcf040e67528d9187c66b2379df5ea4407429775</Application>
  <AppVersion>15.0000</AppVersion>
  <Pages>3</Pages>
  <Words>398</Words>
  <Characters>3311</Characters>
  <CharactersWithSpaces>3679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2024-12-16T10:31:36Z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