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6181" w:type="dxa"/>
        <w:jc w:val="left"/>
        <w:tblInd w:w="-4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000"/>
        <w:gridCol w:w="13181"/>
      </w:tblGrid>
      <w:tr>
        <w:trPr/>
        <w:tc>
          <w:tcPr>
            <w:tcW w:w="30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auto" w:themeShade="80"/>
                <w:sz w:val="22"/>
                <w:szCs w:val="22"/>
                <w:lang w:eastAsia="ru-RU"/>
              </w:rPr>
              <w:t>Наименование услуги</w:t>
            </w:r>
          </w:p>
        </w:tc>
        <w:tc>
          <w:tcPr>
            <w:tcW w:w="1318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3"/>
              <w:widowControl w:val="fals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Принятие решений о переводе жилых помещений в нежилые помещения и нежилых помещений в жилые помещения</w:t>
            </w:r>
          </w:p>
        </w:tc>
      </w:tr>
      <w:tr>
        <w:trPr>
          <w:trHeight w:val="624" w:hRule="atLeast"/>
        </w:trPr>
        <w:tc>
          <w:tcPr>
            <w:tcW w:w="3000" w:type="dxa"/>
            <w:tcBorders>
              <w:left w:val="single" w:sz="6" w:space="0" w:color="EDEDED"/>
              <w:bottom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auto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eastAsia="ru-RU"/>
              </w:rPr>
              <w:t>Услуга предоставляется</w:t>
            </w:r>
          </w:p>
        </w:tc>
        <w:tc>
          <w:tcPr>
            <w:tcW w:w="13181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2"/>
                <w:szCs w:val="22"/>
                <w:lang w:eastAsia="ru-RU"/>
              </w:rPr>
              <w:t>Администрацией города Кургана</w:t>
            </w:r>
          </w:p>
        </w:tc>
      </w:tr>
      <w:tr>
        <w:trPr/>
        <w:tc>
          <w:tcPr>
            <w:tcW w:w="3000" w:type="dxa"/>
            <w:tcBorders>
              <w:left w:val="single" w:sz="6" w:space="0" w:color="EDEDED"/>
              <w:bottom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auto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eastAsia="ru-RU"/>
              </w:rPr>
              <w:t>Ответственный орган</w:t>
            </w:r>
          </w:p>
        </w:tc>
        <w:tc>
          <w:tcPr>
            <w:tcW w:w="13181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>Департаментом развития городского хозяйства Администрации города Кургана.</w:t>
            </w:r>
          </w:p>
        </w:tc>
      </w:tr>
      <w:tr>
        <w:trPr/>
        <w:tc>
          <w:tcPr>
            <w:tcW w:w="3000" w:type="dxa"/>
            <w:tcBorders>
              <w:left w:val="single" w:sz="6" w:space="0" w:color="EDEDED"/>
              <w:bottom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000000" w:themeColor="accent4" w:themeShade="80"/>
                <w:sz w:val="22"/>
                <w:szCs w:val="22"/>
                <w:shd w:fill="B4C7DC" w:val="clear"/>
                <w:lang w:eastAsia="ru-RU"/>
              </w:rPr>
              <w:t>Отдел ответственный за предоставление услуги</w:t>
            </w:r>
          </w:p>
        </w:tc>
        <w:tc>
          <w:tcPr>
            <w:tcW w:w="13181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>Отдел оформления документов по перепланировке (переустройству), переводу жилых и нежилых помещений муниципального казенного учреждения «Административно-техническая инспекция города Кургана» г. Курган, ул. Гоголя, д. 16, кабинеты №№ 1, 2.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 xml:space="preserve">Часы работы: </w:t>
            </w: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ru-RU" w:eastAsia="ru-RU" w:bidi="ar-SA"/>
              </w:rPr>
              <w:t>Пн</w:t>
            </w: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 xml:space="preserve"> - Чт с 8:15 ч. до 17:30 ч., обед с 12:00 ч. До 13:00 ч.; </w:t>
            </w: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ru-RU" w:eastAsia="ru-RU" w:bidi="ar-SA"/>
              </w:rPr>
              <w:t>Пт</w:t>
            </w: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 xml:space="preserve"> с 8:30 ч. до 16:30 ч., обед с 12:00 ч. до 13:00 ч.</w:t>
            </w:r>
          </w:p>
        </w:tc>
      </w:tr>
      <w:tr>
        <w:trPr/>
        <w:tc>
          <w:tcPr>
            <w:tcW w:w="3000" w:type="dxa"/>
            <w:tcBorders>
              <w:left w:val="single" w:sz="6" w:space="0" w:color="EDEDED"/>
              <w:bottom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auto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eastAsia="ru-RU"/>
              </w:rPr>
              <w:t>Получатели услуги</w:t>
            </w:r>
          </w:p>
        </w:tc>
        <w:tc>
          <w:tcPr>
            <w:tcW w:w="13181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hyperlink r:id="rId2" w:tgtFrame="Все лица">
              <w:r>
                <w:rPr>
                  <w:rFonts w:eastAsia="Times New Roman" w:cs="Arial" w:ascii="Arial" w:hAnsi="Arial"/>
                  <w:color w:val="000000"/>
                  <w:sz w:val="22"/>
                  <w:szCs w:val="22"/>
                  <w:lang w:eastAsia="ru-RU"/>
                </w:rPr>
                <w:t>Все лица</w:t>
              </w:r>
            </w:hyperlink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 xml:space="preserve">, </w:t>
            </w:r>
            <w:hyperlink r:id="rId3" w:tgtFrame="Физические лица">
              <w:r>
                <w:rPr>
                  <w:rFonts w:eastAsia="Times New Roman" w:cs="Arial" w:ascii="Arial" w:hAnsi="Arial"/>
                  <w:color w:val="000000"/>
                  <w:sz w:val="22"/>
                  <w:szCs w:val="22"/>
                  <w:lang w:eastAsia="ru-RU"/>
                </w:rPr>
                <w:t>Физические лица</w:t>
              </w:r>
            </w:hyperlink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 xml:space="preserve">, </w:t>
            </w:r>
            <w:hyperlink r:id="rId4" w:tgtFrame="Юридические лица">
              <w:r>
                <w:rPr>
                  <w:rFonts w:eastAsia="Times New Roman" w:cs="Arial" w:ascii="Arial" w:hAnsi="Arial"/>
                  <w:color w:val="000000"/>
                  <w:sz w:val="22"/>
                  <w:szCs w:val="22"/>
                  <w:lang w:eastAsia="ru-RU"/>
                </w:rPr>
                <w:t>Юридические лица</w:t>
              </w:r>
            </w:hyperlink>
          </w:p>
        </w:tc>
      </w:tr>
      <w:tr>
        <w:trPr/>
        <w:tc>
          <w:tcPr>
            <w:tcW w:w="3000" w:type="dxa"/>
            <w:tcBorders>
              <w:left w:val="single" w:sz="6" w:space="0" w:color="EDEDED"/>
              <w:bottom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auto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eastAsia="ru-RU"/>
              </w:rPr>
              <w:t>Заявители</w:t>
            </w:r>
          </w:p>
        </w:tc>
        <w:tc>
          <w:tcPr>
            <w:tcW w:w="13181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 w:val="false"/>
                <w:b w:val="false"/>
                <w:bCs w:val="false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2"/>
                <w:szCs w:val="22"/>
                <w:lang w:eastAsia="ru-RU"/>
              </w:rPr>
              <w:t>Собственник жилого помещения или уполномоченное им лицо.</w:t>
            </w:r>
          </w:p>
        </w:tc>
      </w:tr>
      <w:tr>
        <w:trPr/>
        <w:tc>
          <w:tcPr>
            <w:tcW w:w="3000" w:type="dxa"/>
            <w:tcBorders>
              <w:left w:val="single" w:sz="6" w:space="0" w:color="EDEDED"/>
              <w:bottom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auto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eastAsia="ru-RU"/>
              </w:rPr>
              <w:t>Обязательные документы</w:t>
            </w:r>
          </w:p>
        </w:tc>
        <w:tc>
          <w:tcPr>
            <w:tcW w:w="13181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Autospacing="1" w:after="0"/>
              <w:jc w:val="both"/>
              <w:rPr/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 xml:space="preserve">1) </w:t>
            </w:r>
            <w:hyperlink r:id="rId5" w:tgtFrame="_blank">
              <w:r>
                <w:rPr>
                  <w:rFonts w:eastAsia="Times New Roman" w:cs="Arial" w:ascii="Arial" w:hAnsi="Arial"/>
                  <w:color w:val="000000"/>
                  <w:sz w:val="22"/>
                  <w:szCs w:val="22"/>
                  <w:lang w:eastAsia="ru-RU"/>
                </w:rPr>
                <w:t>Заявление о переводе помещения</w:t>
              </w:r>
            </w:hyperlink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>;</w:t>
            </w:r>
          </w:p>
          <w:p>
            <w:pPr>
              <w:pStyle w:val="Style16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Calibri" w:cs="" w:ascii="Arial" w:hAnsi="Arial" w:cstheme="minorBidi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П</w:t>
            </w:r>
            <w:r>
              <w:rPr>
                <w:rFonts w:ascii="Arial" w:hAnsi="Arial"/>
                <w:sz w:val="22"/>
                <w:szCs w:val="22"/>
              </w:rPr>
              <w:t xml:space="preserve">ри наличии нескольких собственников помещения заявитель предоставляет документ, подтверждающий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согласие указанных лиц или их законных представителей на перевод помещения</w:t>
            </w:r>
            <w:r>
              <w:rPr>
                <w:rFonts w:ascii="Arial" w:hAnsi="Arial"/>
                <w:sz w:val="22"/>
                <w:szCs w:val="22"/>
              </w:rPr>
              <w:t xml:space="preserve">, а также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полномочие заявителя действовать от имени указанных лиц или их законных представителей</w:t>
            </w:r>
            <w:r>
              <w:rPr>
                <w:rFonts w:ascii="Arial" w:hAnsi="Arial"/>
                <w:sz w:val="22"/>
                <w:szCs w:val="22"/>
              </w:rPr>
              <w:t xml:space="preserve"> при подаче заявления (если заявитель не уполномочен в установленном порядке представлять их интересы),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оформленный в письменном виде и заверенный нотариально.</w:t>
            </w:r>
          </w:p>
          <w:p>
            <w:pPr>
              <w:pStyle w:val="Style16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Calibri" w:cs="" w:ascii="Arial" w:hAnsi="Arial" w:cstheme="minorBidi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2)</w:t>
            </w:r>
            <w:r>
              <w:rPr>
                <w:rFonts w:ascii="Arial" w:hAnsi="Arial"/>
                <w:sz w:val="22"/>
                <w:szCs w:val="22"/>
              </w:rPr>
              <w:t xml:space="preserve"> Подготовленный и оформленный в установленном порядке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проект</w:t>
            </w:r>
            <w:r>
              <w:rPr>
                <w:rFonts w:ascii="Arial" w:hAnsi="Arial"/>
                <w:sz w:val="22"/>
                <w:szCs w:val="22"/>
              </w:rPr>
              <w:t xml:space="preserve">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</w:t>
            </w:r>
          </w:p>
          <w:p>
            <w:pPr>
              <w:pStyle w:val="Style16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3)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Протокол общего собрания собственников помещений в многоквартирном доме</w:t>
            </w:r>
            <w:r>
              <w:rPr>
                <w:rFonts w:ascii="Arial" w:hAnsi="Arial"/>
                <w:sz w:val="22"/>
                <w:szCs w:val="22"/>
              </w:rPr>
              <w:t>, содержащий решение об их согласии на перевод жилого помещения в нежилое помещение;</w:t>
            </w:r>
          </w:p>
          <w:p>
            <w:pPr>
              <w:pStyle w:val="Style16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4)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Согласие каждого собственника всех помещений, примыкающих к переводимому помещению</w:t>
            </w:r>
            <w:r>
              <w:rPr>
                <w:rFonts w:ascii="Arial" w:hAnsi="Arial"/>
                <w:sz w:val="22"/>
                <w:szCs w:val="22"/>
              </w:rPr>
              <w:t>, на перевод жилого помещения в нежилое помещение;</w:t>
            </w:r>
          </w:p>
          <w:p>
            <w:pPr>
              <w:pStyle w:val="Style16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5) Правоустанавливающие документы на переводимое помещение (подлинники или засвидетельствованные в нотариальном порядке копии) - в случае, если право на помещение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не зарегистрировано в Е</w:t>
            </w:r>
            <w:r>
              <w:rPr>
                <w:rFonts w:eastAsia="Calibri" w:cs="" w:ascii="Arial" w:hAnsi="Arial" w:cstheme="minorBidi" w:eastAsiaTheme="minorHAnsi"/>
                <w:b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ГРН</w:t>
            </w:r>
          </w:p>
          <w:p>
            <w:pPr>
              <w:pStyle w:val="Style16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Calibri" w:cs="" w:ascii="Arial" w:hAnsi="Arial" w:cstheme="minorBidi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  <w:r>
              <w:rPr>
                <w:rFonts w:ascii="Arial" w:hAnsi="Arial"/>
                <w:sz w:val="22"/>
                <w:szCs w:val="22"/>
              </w:rPr>
              <w:t xml:space="preserve"> Если при переводе помещения затрагивается земельный участок на котором расположен многоквартирный дом, или иное общее имущество собственников помещений многоквартирного дома или нежилого объекта, заявитель, в соответствии с Жилищным кодексом РФ, Гражданским кодексом РФ, дополнительно представляет протокол общего собрания собственников помещений в многоквартирном доме или иной документ, подтверждающий принятие решения об использовании земельного участка, на котором расположен многоквартирный дом, нежилой объект и (или) решения об использовании общего имущества.</w:t>
            </w:r>
          </w:p>
          <w:p>
            <w:pPr>
              <w:pStyle w:val="Style16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br/>
              <w:t>- В случае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муниципальной услуги заявитель, в соответствии с частью 3 статьи 7 Федерального закона от 27.07.2010 N 210-ФЗ,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 (за исключением лиц, признанных безвестно отсутствующими, и разыскиваемых лиц, место нахождения которых не установлено уполномоченным федеральным органом исполнительной власти)</w:t>
            </w:r>
          </w:p>
        </w:tc>
      </w:tr>
      <w:tr>
        <w:trPr>
          <w:trHeight w:val="1805" w:hRule="atLeast"/>
        </w:trPr>
        <w:tc>
          <w:tcPr>
            <w:tcW w:w="3000" w:type="dxa"/>
            <w:tcBorders>
              <w:left w:val="single" w:sz="6" w:space="0" w:color="EDEDED"/>
              <w:bottom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auto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eastAsia="ru-RU"/>
              </w:rPr>
              <w:t>Необязательные документы</w:t>
            </w:r>
          </w:p>
        </w:tc>
        <w:tc>
          <w:tcPr>
            <w:tcW w:w="13181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Autospacing="1" w:after="0"/>
              <w:jc w:val="both"/>
              <w:rPr>
                <w:rFonts w:ascii="Arial" w:hAnsi="Arial"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>1) Правоустанавливающие документы на переводимое помещение (подлинники или засвидетельствованные в нотариальном порядке копии) - в случае, если право на помещение зарегистрировано в Едином государственном реестре недвижимости</w:t>
            </w:r>
          </w:p>
          <w:p>
            <w:pPr>
              <w:pStyle w:val="Style16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2) План переводимого помещения с его техническим описанием (в случае, если переводимое помещение является жилым, технический паспорт такого помещения)</w:t>
            </w:r>
          </w:p>
          <w:p>
            <w:pPr>
              <w:pStyle w:val="Style16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3) Поэтажный план дома, в котором находится переводимое помещение</w:t>
            </w:r>
          </w:p>
        </w:tc>
      </w:tr>
      <w:tr>
        <w:trPr/>
        <w:tc>
          <w:tcPr>
            <w:tcW w:w="3000" w:type="dxa"/>
            <w:tcBorders>
              <w:left w:val="single" w:sz="6" w:space="0" w:color="EDEDED"/>
              <w:bottom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auto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eastAsia="ru-RU"/>
              </w:rPr>
              <w:t>Результат</w:t>
            </w:r>
          </w:p>
        </w:tc>
        <w:tc>
          <w:tcPr>
            <w:tcW w:w="13181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right="0" w:hanging="0"/>
              <w:jc w:val="both"/>
              <w:rPr>
                <w:rFonts w:ascii="Arial" w:hAnsi="Arial"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>1) Выдача (направление) заявителю уведомления о переводе жилого помещения в нежилое помещение или нежилого помещения в жилое помещение</w:t>
            </w:r>
          </w:p>
          <w:p>
            <w:pPr>
              <w:pStyle w:val="ConsPlus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right="0" w:hanging="0"/>
              <w:jc w:val="both"/>
              <w:rPr>
                <w:rFonts w:ascii="Arial" w:hAnsi="Arial"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>2) уведомление об отказе в переводе помещения</w:t>
            </w:r>
          </w:p>
        </w:tc>
      </w:tr>
      <w:tr>
        <w:trPr/>
        <w:tc>
          <w:tcPr>
            <w:tcW w:w="3000" w:type="dxa"/>
            <w:tcBorders>
              <w:left w:val="single" w:sz="6" w:space="0" w:color="EDEDED"/>
              <w:bottom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auto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eastAsia="ru-RU"/>
              </w:rPr>
              <w:t>Срок предоставления услуги</w:t>
            </w:r>
          </w:p>
        </w:tc>
        <w:tc>
          <w:tcPr>
            <w:tcW w:w="13181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spacing w:lineRule="auto" w:line="240" w:before="240" w:after="0"/>
              <w:ind w:left="0" w:right="0" w:hanging="0"/>
              <w:jc w:val="both"/>
              <w:rPr>
                <w:rFonts w:ascii="Arial" w:hAnsi="Arial"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>Не позднее чем через 45 дней со дня представления заявителем в Департамент документов.</w:t>
            </w:r>
          </w:p>
        </w:tc>
      </w:tr>
      <w:tr>
        <w:trPr/>
        <w:tc>
          <w:tcPr>
            <w:tcW w:w="3000" w:type="dxa"/>
            <w:tcBorders>
              <w:left w:val="single" w:sz="6" w:space="0" w:color="EDEDED"/>
              <w:bottom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auto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eastAsia="ru-RU"/>
              </w:rPr>
              <w:t>Основания для отказа в приеме документов</w:t>
            </w:r>
          </w:p>
        </w:tc>
        <w:tc>
          <w:tcPr>
            <w:tcW w:w="13181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ind w:lef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>Основания для отказа в приеме документов, необходимых для предоставления муниципальной услуги, отсутствуют.</w:t>
            </w:r>
          </w:p>
        </w:tc>
      </w:tr>
      <w:tr>
        <w:trPr/>
        <w:tc>
          <w:tcPr>
            <w:tcW w:w="3000" w:type="dxa"/>
            <w:tcBorders>
              <w:left w:val="single" w:sz="6" w:space="0" w:color="EDEDED"/>
              <w:bottom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eastAsia="ru-RU"/>
              </w:rPr>
              <w:t>Стоимость</w:t>
            </w:r>
          </w:p>
        </w:tc>
        <w:tc>
          <w:tcPr>
            <w:tcW w:w="13181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>Муниципальная услуга предоставляется на бесплатной основе.</w:t>
            </w:r>
          </w:p>
        </w:tc>
      </w:tr>
      <w:tr>
        <w:trPr/>
        <w:tc>
          <w:tcPr>
            <w:tcW w:w="3000" w:type="dxa"/>
            <w:tcBorders>
              <w:left w:val="single" w:sz="6" w:space="0" w:color="EDEDED"/>
              <w:bottom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auto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eastAsia="ru-RU"/>
              </w:rPr>
              <w:t>Информация о порядке предоставления услуги</w:t>
            </w:r>
          </w:p>
        </w:tc>
        <w:tc>
          <w:tcPr>
            <w:tcW w:w="13181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>
          <w:trHeight w:val="1419" w:hRule="atLeast"/>
        </w:trPr>
        <w:tc>
          <w:tcPr>
            <w:tcW w:w="3000" w:type="dxa"/>
            <w:tcBorders>
              <w:left w:val="single" w:sz="6" w:space="0" w:color="EDEDED"/>
              <w:bottom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auto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eastAsia="ru-RU"/>
              </w:rPr>
              <w:t>Административный регламент</w:t>
            </w:r>
          </w:p>
        </w:tc>
        <w:tc>
          <w:tcPr>
            <w:tcW w:w="13181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1"/>
              <w:widowControl w:val="false"/>
              <w:spacing w:lineRule="auto" w:line="240" w:before="0" w:after="0"/>
              <w:jc w:val="both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2"/>
                <w:szCs w:val="22"/>
                <w:lang w:eastAsia="ru-RU"/>
              </w:rPr>
              <w:t>Постановление Администрации города Кургана от 15.01.2026 № 77 Об утверждении Административного регламента предоставления Департаментом развития городского хозяйства Администрации города Кургана муниципальной услуги «Принятие решений о переводе жилых помещений в нежилые помещения и нежилых помещений в жилые помещения»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Style15"/>
    <w:next w:val="Style16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3">
    <w:name w:val="Heading 3"/>
    <w:basedOn w:val="Style15"/>
    <w:next w:val="Style16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Style13">
    <w:name w:val="Интернет-ссылка"/>
    <w:rPr>
      <w:color w:val="000080"/>
      <w:u w:val="single"/>
      <w:lang w:val="zxx" w:eastAsia="zxx" w:bidi="zxx"/>
    </w:rPr>
  </w:style>
  <w:style w:type="character" w:styleId="Style14">
    <w:name w:val="Символ нумерации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00000A"/>
      <w:kern w:val="0"/>
      <w:sz w:val="22"/>
      <w:szCs w:val="20"/>
      <w:lang w:val="ru-RU" w:eastAsia="ru-RU" w:bidi="ar-SA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kurgan-city.ru/gosserv/for/496/" TargetMode="External"/><Relationship Id="rId3" Type="http://schemas.openxmlformats.org/officeDocument/2006/relationships/hyperlink" Target="https://kurgan-city.ru/gosserv/for/488/" TargetMode="External"/><Relationship Id="rId4" Type="http://schemas.openxmlformats.org/officeDocument/2006/relationships/hyperlink" Target="https://kurgan-city.ru/gosserv/for/489/" TargetMode="External"/><Relationship Id="rId5" Type="http://schemas.openxmlformats.org/officeDocument/2006/relationships/hyperlink" Target="https://www.kurgan-city.ru/about/form/543085/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Application>LibreOffice/7.0.4.2$Windows_X86_64 LibreOffice_project/dcf040e67528d9187c66b2379df5ea4407429775</Application>
  <AppVersion>15.0000</AppVersion>
  <Pages>2</Pages>
  <Words>591</Words>
  <Characters>4156</Characters>
  <CharactersWithSpaces>4710</CharactersWithSpaces>
  <Paragraphs>38</Paragraphs>
  <Company>КонсультантПлюс Версия 4022.00.09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2022-09-14T14:12:00Z</dcterms:created>
  <dc:creator>Надежда Николаевна Плотникова</dc:creator>
  <dc:description/>
  <dc:language>ru-RU</dc:language>
  <cp:lastModifiedBy/>
  <dcterms:modified xsi:type="dcterms:W3CDTF">2026-01-19T16:31:52Z</dcterms:modified>
  <cp:revision>33</cp:revision>
  <dc:subject/>
  <dc:title>Постановление Администрации города Кургана от 20.07.2012 N 5132(ред. от 13.05.2022)"Об утверждении Административного регламента предоставления Департаментом развития городского хозяйства Администрации города Кургана муниципальной услуги "Согласование переустройства и (или) перепланировки помещений в многоквартирном доме"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