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450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719"/>
        <w:gridCol w:w="12731"/>
      </w:tblGrid>
      <w:tr>
        <w:trPr>
          <w:trHeight w:val="571" w:hRule="atLeast"/>
        </w:trPr>
        <w:tc>
          <w:tcPr>
            <w:tcW w:w="271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73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hyperlink r:id="rId2" w:tgtFrame="_blank">
              <w:r>
                <w:rPr>
                  <w:rFonts w:eastAsia="Times New Roman" w:cs="Arial" w:ascii="Arial" w:hAnsi="Arial"/>
                  <w:b/>
                  <w:color w:val="auto"/>
                  <w:kern w:val="0"/>
                  <w:sz w:val="24"/>
                  <w:szCs w:val="24"/>
                  <w:lang w:val="ru-RU" w:eastAsia="ru-RU" w:bidi="ar-SA"/>
                </w:rPr>
                <w:t>Д</w:t>
              </w:r>
            </w:hyperlink>
            <w:r>
              <w:rPr>
                <w:rFonts w:eastAsia="Times New Roman" w:cs="Arial" w:ascii="Arial" w:hAnsi="Arial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ача письменных разъяснений налоговым органам, налогоплательщикам и налоговым агентам по вопросам применения нормативных правовых актов города Кургана о местных налогах и сборах</w:t>
            </w:r>
          </w:p>
        </w:tc>
      </w:tr>
      <w:tr>
        <w:trPr>
          <w:trHeight w:val="952" w:hRule="atLeast"/>
        </w:trPr>
        <w:tc>
          <w:tcPr>
            <w:tcW w:w="271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73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Департамент финансов и имущества Администрации города Кургана</w:t>
            </w:r>
          </w:p>
        </w:tc>
      </w:tr>
      <w:tr>
        <w:trPr>
          <w:trHeight w:val="993" w:hRule="atLeast"/>
        </w:trPr>
        <w:tc>
          <w:tcPr>
            <w:tcW w:w="271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73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gbinding"/>
              <w:widowControl w:val="false"/>
              <w:shd w:val="clear" w:color="auto" w:fill="FFFFFF"/>
              <w:spacing w:lineRule="atLeast" w:line="300" w:beforeAutospacing="0" w:before="390" w:afterAutospacing="0" w:after="3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Физические или юридические лица, индивидуальные предприниматели, либо их законные или уполномоченные представители. </w:t>
            </w:r>
          </w:p>
        </w:tc>
      </w:tr>
      <w:tr>
        <w:trPr/>
        <w:tc>
          <w:tcPr>
            <w:tcW w:w="271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73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Департаментом финансов и имущества Администрации города Кургана</w:t>
            </w:r>
          </w:p>
        </w:tc>
      </w:tr>
      <w:tr>
        <w:trPr/>
        <w:tc>
          <w:tcPr>
            <w:tcW w:w="271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73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Web"/>
              <w:widowControl w:val="false"/>
              <w:numPr>
                <w:ilvl w:val="0"/>
                <w:numId w:val="2"/>
              </w:num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Style15"/>
                <w:rFonts w:cs="Arial" w:ascii="Arial" w:hAnsi="Arial"/>
                <w:b/>
                <w:i w:val="false"/>
                <w:sz w:val="24"/>
                <w:szCs w:val="24"/>
                <w:u w:val="none"/>
              </w:rPr>
              <w:t>Заявление</w:t>
            </w:r>
          </w:p>
        </w:tc>
      </w:tr>
      <w:tr>
        <w:trPr>
          <w:trHeight w:val="973" w:hRule="atLeast"/>
        </w:trPr>
        <w:tc>
          <w:tcPr>
            <w:tcW w:w="271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Необязательные документы</w:t>
            </w:r>
          </w:p>
        </w:tc>
        <w:tc>
          <w:tcPr>
            <w:tcW w:w="1273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Arial" w:hAnsi="Arial" w:eastAsia="Times New Roman" w:cs="Arial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4"/>
                <w:szCs w:val="24"/>
                <w:lang w:val="ru-RU" w:eastAsia="ru-RU" w:bidi="ar-SA"/>
              </w:rPr>
              <w:t>Отсутствуют</w:t>
            </w:r>
          </w:p>
        </w:tc>
      </w:tr>
      <w:tr>
        <w:trPr/>
        <w:tc>
          <w:tcPr>
            <w:tcW w:w="271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73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- </w:t>
            </w:r>
            <w:r>
              <w:rPr>
                <w:rFonts w:ascii="Arial" w:hAnsi="Arial"/>
                <w:sz w:val="24"/>
                <w:szCs w:val="24"/>
              </w:rPr>
              <w:t xml:space="preserve">Письменное разъяснение по вопросам применения нормативных правовых актов города Кургана о местных налогах и сборах либо письменный отказ в предоставлении муниципальной услуги. </w:t>
            </w:r>
          </w:p>
        </w:tc>
      </w:tr>
      <w:tr>
        <w:trPr/>
        <w:tc>
          <w:tcPr>
            <w:tcW w:w="271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73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Не более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60 дней</w:t>
            </w:r>
            <w:r>
              <w:rPr>
                <w:rFonts w:cs="Arial" w:ascii="Arial" w:hAnsi="Arial"/>
                <w:sz w:val="24"/>
                <w:szCs w:val="24"/>
              </w:rPr>
              <w:t xml:space="preserve"> со дня поступления заявления. По решению директора Департамента указанный срок может быть продлен, но не более чем на 30 дней. </w:t>
              <w:br/>
              <w:t xml:space="preserve">В случае предоставления заявителем документов через МФЦ срок предоставления муниципальной услуги исчисляется со дня передачи МФЦ таких документов в Департамент. </w:t>
            </w:r>
          </w:p>
        </w:tc>
      </w:tr>
      <w:tr>
        <w:trPr/>
        <w:tc>
          <w:tcPr>
            <w:tcW w:w="271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3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Основания для отказа в приеме заявления отсутствуют. </w:t>
            </w:r>
          </w:p>
        </w:tc>
      </w:tr>
      <w:tr>
        <w:trPr>
          <w:trHeight w:val="523" w:hRule="atLeast"/>
        </w:trPr>
        <w:tc>
          <w:tcPr>
            <w:tcW w:w="271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73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Муниципальная услуга </w:t>
            </w:r>
            <w:r>
              <w:rPr>
                <w:rFonts w:cs="Arial" w:ascii="Arial" w:hAnsi="Arial"/>
                <w:sz w:val="24"/>
                <w:szCs w:val="24"/>
              </w:rPr>
              <w:t>предоставляется на бесплатной основе.</w:t>
            </w:r>
          </w:p>
        </w:tc>
      </w:tr>
      <w:tr>
        <w:trPr/>
        <w:tc>
          <w:tcPr>
            <w:tcW w:w="271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sz w:val="24"/>
                <w:szCs w:val="24"/>
                <w:lang w:eastAsia="ru-RU"/>
              </w:rPr>
              <w:t>Информация о порядке предоставления услуги предоставляется</w:t>
            </w:r>
          </w:p>
        </w:tc>
        <w:tc>
          <w:tcPr>
            <w:tcW w:w="1273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FF" w:val="clear"/>
                <w:lang w:eastAsia="ru-RU"/>
              </w:rPr>
              <w:t>В Департаменте финансов и имущества Администрации города Кургана по адресу: 640020, г. Курган, ул. Советская, д. 66, кабинет № 204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FF" w:val="clear"/>
                <w:lang w:eastAsia="ru-RU"/>
              </w:rPr>
              <w:t>42-86-00 приемная Департамента финансов и имущества Администрации города Кургана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42-86-0</w:t>
            </w: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 доб.444, 445, 446) (отдел по работе с доходами и недоимкой Департамента финансов и имущества Администрации города Кургана</w:t>
            </w:r>
          </w:p>
        </w:tc>
      </w:tr>
      <w:tr>
        <w:trPr/>
        <w:tc>
          <w:tcPr>
            <w:tcW w:w="2719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731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>
          <w:trHeight w:val="626" w:hRule="atLeast"/>
        </w:trPr>
        <w:tc>
          <w:tcPr>
            <w:tcW w:w="271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73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  <w:t xml:space="preserve">ПОСТАНОВЛЕНИЕ ОТ 24 ДЕКАБРЯ 2021 Г. № 8799 </w:t>
            </w: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  <w:t xml:space="preserve">ОБ УТВЕРЖДЕНИИ АДМИНИСТРАТИВНОГО РЕГЛАМЕНТА ПРЕДОСТАВЛЕНИЯ ДЕПАРТАМЕНТОМ ФИНАНСОВ И ИМУЩЕСТВА АДМИНИСТРАЦИИ ГОРОДА КУРГАНА МУНИЦИПАЛЬНОЙ УСЛУГИ "ДАЧА ПИСЬМЕННЫХ РАЗЪЯСНЕНИЙ НАЛОГОВЫМ ОРГАНАМ, НАЛОГОПЛАТЕЛЬЩИКАМ И НАЛОГОВЫМ АГЕНТАМ ПО ВОПРОСАМ ПРИМЕНЕНИЯ НОРМАТИВНЫХ ПРАВОВЫХ АКТОВ ГОРОДА КУРГАНА О МЕСТНЫХ НАЛОГАХ И СБОРАХ" 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roman"/>
    <w:pitch w:val="variable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5">
    <w:name w:val="Выделение"/>
    <w:basedOn w:val="DefaultParagraphFont"/>
    <w:uiPriority w:val="20"/>
    <w:qFormat/>
    <w:rsid w:val="008160b2"/>
    <w:rPr>
      <w:i/>
      <w:iCs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mfc45.ru/services/department/7.htm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LibreOffice/7.0.0.3$Windows_X86_64 LibreOffice_project/8061b3e9204bef6b321a21033174034a5e2ea88e</Application>
  <Pages>2</Pages>
  <Words>264</Words>
  <Characters>1874</Characters>
  <CharactersWithSpaces>2114</CharactersWithSpaces>
  <Paragraphs>27</Paragraphs>
  <Company>КонсультантПлюс Версия 4022.00.09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2022-10-25T15:48:00Z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2022-10-25T15:50:36Z</dcterms:modified>
  <cp:revision>6</cp:revision>
  <dc:subject/>
  <dc:title>Постановление Администрации города Кургана от 24.12.2021 N 8799"Об утверждении Административного регламента предоставления Департаментом финансов и имущества Администрации города Кургана муниципальной услуги "Дача письменных разъяснений налоговым органам, налогоплательщикам и налоговым агентам по вопросам применения нормативных правовых актов города Кургана о местных налогах и сборах"(вместе с "Заявлением")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4022.00.09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