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Администрация города Кургана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Юридические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лица, индивидуальные предприниматели, осуществляющие деятельность в сфере торговли, и граждане, ведущие личное подсобное хозяйство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 xml:space="preserve">Заключение </w:t>
            </w:r>
            <w:r>
              <w:rPr>
                <w:rFonts w:ascii="Arial" w:hAnsi="Arial"/>
                <w:sz w:val="24"/>
                <w:szCs w:val="24"/>
              </w:rPr>
              <w:t>договоров на размещение нестационарного объекта уличной торговли на территории города Кургана</w:t>
            </w:r>
          </w:p>
        </w:tc>
      </w:tr>
      <w:tr>
        <w:trPr>
          <w:trHeight w:val="65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Департамент экономического развития, предпринимательства и торговли Администрации города Кургана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При размещении на территории города Кургана нестационарных объектов уличной торговли</w:t>
            </w:r>
            <w:r>
              <w:rPr>
                <w:rFonts w:ascii="Arial" w:hAnsi="Arial"/>
                <w:sz w:val="24"/>
                <w:szCs w:val="24"/>
              </w:rPr>
              <w:t>: юридические лица, индивидуальные предприниматели, осуществляющие деятельность в сфере торговли, и граждане, ведущие личное подсобное хозяйство.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Для юридических лиц: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заявление,</w:t>
            </w:r>
            <w:r>
              <w:rPr>
                <w:rFonts w:ascii="Arial" w:hAnsi="Arial"/>
                <w:sz w:val="24"/>
                <w:szCs w:val="24"/>
              </w:rPr>
              <w:t xml:space="preserve"> которое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должно содержать: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наименование;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организационно-правовую форму;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юридический адрес;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контактный телефон;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идентификационный номер налогоплательщика;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номера свидетельств о государственной регистрации и постановке на налоговый учет;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местоположение объекта;</w:t>
            </w:r>
          </w:p>
          <w:p>
            <w:pPr>
              <w:pStyle w:val="Normal"/>
              <w:widowControl w:val="false"/>
              <w:numPr>
                <w:ilvl w:val="4"/>
                <w:numId w:val="4"/>
              </w:numPr>
              <w:tabs>
                <w:tab w:val="clear" w:pos="708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24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об ассортименте реализуемой продукции.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Устава;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документа, подтверждающего полномочия лица действовать от имени заявителя.</w:t>
            </w:r>
          </w:p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Для индивидуальных предпринимателей: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Заявление,</w:t>
            </w:r>
            <w:r>
              <w:rPr>
                <w:rFonts w:ascii="Arial" w:hAnsi="Arial"/>
                <w:sz w:val="24"/>
                <w:szCs w:val="24"/>
              </w:rPr>
              <w:t xml:space="preserve"> которое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должно содержать:</w:t>
            </w:r>
          </w:p>
          <w:p>
            <w:pPr>
              <w:pStyle w:val="Normal"/>
              <w:widowControl w:val="false"/>
              <w:numPr>
                <w:ilvl w:val="4"/>
                <w:numId w:val="6"/>
              </w:numPr>
              <w:tabs>
                <w:tab w:val="clear" w:pos="708"/>
                <w:tab w:val="left" w:pos="1481" w:leader="none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фамилию, имя, отчество,</w:t>
            </w:r>
          </w:p>
          <w:p>
            <w:pPr>
              <w:pStyle w:val="Normal"/>
              <w:widowControl w:val="false"/>
              <w:numPr>
                <w:ilvl w:val="4"/>
                <w:numId w:val="6"/>
              </w:numPr>
              <w:tabs>
                <w:tab w:val="clear" w:pos="708"/>
                <w:tab w:val="left" w:pos="1481" w:leader="none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регистрации по месту жительства,</w:t>
            </w:r>
          </w:p>
          <w:p>
            <w:pPr>
              <w:pStyle w:val="Normal"/>
              <w:widowControl w:val="false"/>
              <w:numPr>
                <w:ilvl w:val="4"/>
                <w:numId w:val="6"/>
              </w:numPr>
              <w:tabs>
                <w:tab w:val="clear" w:pos="708"/>
                <w:tab w:val="left" w:pos="1481" w:leader="none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контактный телефон,</w:t>
            </w:r>
          </w:p>
          <w:p>
            <w:pPr>
              <w:pStyle w:val="Normal"/>
              <w:widowControl w:val="false"/>
              <w:numPr>
                <w:ilvl w:val="4"/>
                <w:numId w:val="6"/>
              </w:numPr>
              <w:tabs>
                <w:tab w:val="clear" w:pos="708"/>
                <w:tab w:val="left" w:pos="1481" w:leader="none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идентификационный номер налогоплательщика,</w:t>
            </w:r>
          </w:p>
          <w:p>
            <w:pPr>
              <w:pStyle w:val="Normal"/>
              <w:widowControl w:val="false"/>
              <w:numPr>
                <w:ilvl w:val="4"/>
                <w:numId w:val="6"/>
              </w:numPr>
              <w:tabs>
                <w:tab w:val="clear" w:pos="708"/>
                <w:tab w:val="left" w:pos="1481" w:leader="none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номера свидетельств о государственной регистрации и постановке на налоговый учет;</w:t>
            </w:r>
          </w:p>
          <w:p>
            <w:pPr>
              <w:pStyle w:val="Normal"/>
              <w:widowControl w:val="false"/>
              <w:numPr>
                <w:ilvl w:val="4"/>
                <w:numId w:val="6"/>
              </w:numPr>
              <w:tabs>
                <w:tab w:val="clear" w:pos="708"/>
                <w:tab w:val="left" w:pos="1481" w:leader="none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местоположение объекта,</w:t>
            </w:r>
          </w:p>
          <w:p>
            <w:pPr>
              <w:pStyle w:val="Normal"/>
              <w:widowControl w:val="false"/>
              <w:numPr>
                <w:ilvl w:val="4"/>
                <w:numId w:val="6"/>
              </w:numPr>
              <w:tabs>
                <w:tab w:val="clear" w:pos="708"/>
                <w:tab w:val="left" w:pos="1481" w:leader="none"/>
                <w:tab w:val="left" w:pos="1538" w:leader="none"/>
              </w:tabs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сведения об ассортименте реализуемой продукции;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документа, удостоверяющего личность;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документа, подтверждающего полномочия лица действовать от имени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Для граждан, ведущих личное подсобное хозяйство: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1181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Заявление,</w:t>
            </w:r>
            <w:r>
              <w:rPr>
                <w:rFonts w:ascii="Arial" w:hAnsi="Arial"/>
                <w:sz w:val="24"/>
                <w:szCs w:val="24"/>
              </w:rPr>
              <w:t xml:space="preserve"> которое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должно содержать: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фамилию, имя, отчество,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регистрации по месту жительства,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контактный телефон,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идентификационный номер налогоплательщика,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местоположение объекта,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lineRule="auto" w:line="240" w:before="0" w:after="0"/>
              <w:ind w:left="1191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сведения об ассортименте реализуемой продукции;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документа, удостоверяющего личность;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документа, подтверждающего полномочия лица действовать от имени заявителя;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правоустанавливающего документа на земельный участок, предоставленный для ведения личного подсобного хозяйства, права на который не зарегистрированы в ЕГРН.</w:t>
            </w:r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1) Для юридических лиц: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выписка из Единого государственного реестра юридических лиц (ЕГРЮЛ);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2) Для индивидуальных предпринимателей: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227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выписка из Единого государственного реестра индивидуальных предпринимателей (ЕГРНИП);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3) Для граждан, ведущих личное подсобное хозяйство: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283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копия правоустанавливающего документа на земельный участок, предоставленный для ведения личного подсобного хозяйства, права на который зарегистрированы в Е</w:t>
            </w:r>
            <w:r>
              <w:rPr>
                <w:rFonts w:eastAsia="Times New Roman" w:cs="Calibri" w:ascii="Arial" w:hAnsi="Arial"/>
                <w:color w:val="00000A"/>
                <w:kern w:val="0"/>
                <w:sz w:val="24"/>
                <w:szCs w:val="24"/>
                <w:lang w:val="ru-RU" w:eastAsia="ru-RU" w:bidi="ar-SA"/>
              </w:rPr>
              <w:t>ГРН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rPr>
          <w:trHeight w:val="190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заключение договоров на размещение нестационарного объекта уличной торговли (далее - договор);</w:t>
            </w:r>
          </w:p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отказ в предоставлении муниципальной услуги.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Результат муниципальной услуги выдается (направляется) заявителю Департаментом.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;Times New Roman" w:ascii="Arial" w:hAnsi="Arial"/>
                <w:color w:val="000000"/>
                <w:sz w:val="24"/>
                <w:szCs w:val="24"/>
              </w:rPr>
              <w:t xml:space="preserve">Срок предоставления муниципальной услуги не </w:t>
            </w:r>
            <w:r>
              <w:rPr>
                <w:rFonts w:cs="PT Astra Serif;Times New Roman" w:ascii="Arial" w:hAnsi="Arial"/>
                <w:b/>
                <w:bCs/>
                <w:color w:val="000000"/>
                <w:sz w:val="24"/>
                <w:szCs w:val="24"/>
              </w:rPr>
              <w:t>более 30 рабочих дней</w:t>
            </w:r>
            <w:r>
              <w:rPr>
                <w:rFonts w:cs="PT Astra Serif;Times New Roman" w:ascii="Arial" w:hAnsi="Arial"/>
                <w:color w:val="000000"/>
                <w:sz w:val="24"/>
                <w:szCs w:val="24"/>
              </w:rPr>
              <w:t xml:space="preserve"> со </w:t>
            </w:r>
            <w:r>
              <w:rPr>
                <w:rFonts w:ascii="Arial" w:hAnsi="Arial"/>
                <w:sz w:val="24"/>
                <w:szCs w:val="24"/>
              </w:rPr>
              <w:t>дня передачи МФЦ заявления и документов в Департамент</w:t>
            </w:r>
          </w:p>
        </w:tc>
      </w:tr>
      <w:tr>
        <w:trPr>
          <w:trHeight w:val="83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Основанием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Основания для отказа в приеме документов 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rFonts w:ascii="Arial" w:hAnsi="Arial"/>
                <w:sz w:val="24"/>
                <w:szCs w:val="24"/>
              </w:rPr>
              <w:t>услуга предоставляется на бесплатной основе.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Началом приема заявлений на размещение нестационарных объектов сезонной уличной торговли считается: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cs="PT Astra Serif" w:ascii="Arial" w:hAnsi="Arial"/>
                <w:sz w:val="24"/>
                <w:szCs w:val="24"/>
              </w:rPr>
              <w:t xml:space="preserve">для объектов по реализации </w:t>
            </w:r>
            <w:r>
              <w:rPr>
                <w:rFonts w:cs="PT Astra Serif" w:ascii="Arial" w:hAnsi="Arial"/>
                <w:sz w:val="24"/>
                <w:szCs w:val="24"/>
                <w:u w:val="single"/>
              </w:rPr>
              <w:t>мороженого (лари морозильные)</w:t>
            </w:r>
            <w:r>
              <w:rPr>
                <w:rFonts w:cs="PT Astra Serif" w:ascii="Arial" w:hAnsi="Arial"/>
                <w:sz w:val="24"/>
                <w:szCs w:val="24"/>
              </w:rPr>
              <w:t xml:space="preserve">, </w:t>
            </w:r>
            <w:r>
              <w:rPr>
                <w:rFonts w:cs="PT Astra Serif" w:ascii="Arial" w:hAnsi="Arial"/>
                <w:sz w:val="24"/>
                <w:szCs w:val="24"/>
                <w:u w:val="single"/>
              </w:rPr>
              <w:t>цветов</w:t>
            </w:r>
            <w:r>
              <w:rPr>
                <w:rFonts w:cs="PT Astra Serif" w:ascii="Arial" w:hAnsi="Arial"/>
                <w:sz w:val="24"/>
                <w:szCs w:val="24"/>
              </w:rPr>
              <w:t xml:space="preserve"> в предпраздничные дни (</w:t>
            </w:r>
            <w:r>
              <w:rPr>
                <w:rFonts w:cs="PT Astra Serif" w:ascii="Arial" w:hAnsi="Arial"/>
                <w:sz w:val="24"/>
                <w:szCs w:val="24"/>
                <w:u w:val="single"/>
              </w:rPr>
              <w:t>автомагазины</w:t>
            </w:r>
            <w:r>
              <w:rPr>
                <w:rFonts w:cs="PT Astra Serif" w:ascii="Arial" w:hAnsi="Arial"/>
                <w:sz w:val="24"/>
                <w:szCs w:val="24"/>
              </w:rPr>
              <w:t xml:space="preserve">) первый рабочий </w:t>
            </w:r>
            <w:r>
              <w:rPr>
                <w:rFonts w:cs="PT Astra Serif" w:ascii="Arial" w:hAnsi="Arial"/>
                <w:b/>
                <w:bCs/>
                <w:sz w:val="24"/>
                <w:szCs w:val="24"/>
                <w:shd w:fill="AFD095" w:val="clear"/>
              </w:rPr>
              <w:t>вторник февраля;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для </w:t>
            </w:r>
            <w:r>
              <w:rPr>
                <w:rFonts w:ascii="Arial" w:hAnsi="Arial"/>
                <w:sz w:val="24"/>
                <w:szCs w:val="24"/>
              </w:rPr>
              <w:t xml:space="preserve">объектов по реализации </w:t>
            </w:r>
            <w:r>
              <w:rPr>
                <w:rFonts w:ascii="Arial" w:hAnsi="Arial"/>
                <w:sz w:val="24"/>
                <w:szCs w:val="24"/>
                <w:u w:val="single"/>
              </w:rPr>
              <w:t>цветов (торговые палатки</w:t>
            </w:r>
            <w:r>
              <w:rPr>
                <w:rFonts w:ascii="Arial" w:hAnsi="Arial"/>
                <w:sz w:val="24"/>
                <w:szCs w:val="24"/>
              </w:rPr>
              <w:t xml:space="preserve">), </w:t>
            </w:r>
            <w:r>
              <w:rPr>
                <w:rFonts w:ascii="Arial" w:hAnsi="Arial"/>
                <w:sz w:val="24"/>
                <w:szCs w:val="24"/>
                <w:u w:val="single"/>
              </w:rPr>
              <w:t>солнцезащитных очков (торговые стенды)</w:t>
            </w:r>
            <w:r>
              <w:rPr>
                <w:rFonts w:ascii="Arial" w:hAnsi="Arial"/>
                <w:sz w:val="24"/>
                <w:szCs w:val="24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  <w:u w:val="single"/>
              </w:rPr>
              <w:t>кваса (ролл-бары, передвижные объекты торговли - бочки)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shd w:fill="AFD095" w:val="clear"/>
              </w:rPr>
              <w:t>второй рабочий вторник марта;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lang w:eastAsia="ru-RU"/>
              </w:rPr>
              <w:t xml:space="preserve">объектов по реализации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u w:val="single"/>
                <w:lang w:eastAsia="ru-RU"/>
              </w:rPr>
              <w:t>свежемороженой рыбы (торговые палатки)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lang w:eastAsia="ru-RU"/>
              </w:rPr>
              <w:t xml:space="preserve"> и объектов по реализации товаров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u w:val="single"/>
                <w:lang w:eastAsia="ru-RU"/>
              </w:rPr>
              <w:t>новогоднего ассортимента (торговые палатки)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shd w:fill="AFD095" w:val="clear"/>
                <w:lang w:eastAsia="ru-RU"/>
              </w:rPr>
              <w:t>второй рабочий вторник октября.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eastAsia="ru-RU"/>
              </w:rPr>
              <w:t>Для</w:t>
            </w:r>
            <w:r>
              <w:rPr>
                <w:rFonts w:eastAsia="Times New Roman" w:cs="PT Astra Serif" w:ascii="Arial" w:hAnsi="Arial"/>
                <w:b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lang w:eastAsia="ru-RU"/>
              </w:rPr>
              <w:t xml:space="preserve">размещенных в текущем году нестационарных объектов постоянной уличной торговли по реализации продукции 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u w:val="single"/>
                <w:lang w:eastAsia="ru-RU"/>
              </w:rPr>
              <w:t>сельхозпроизводителей (автомагазины, автоцистерны</w:t>
            </w:r>
            <w:r>
              <w:rPr>
                <w:rFonts w:eastAsia="Times New Roman" w:cs="PT Astra Serif" w:ascii="Arial" w:hAnsi="Arial"/>
                <w:color w:val="000000"/>
                <w:sz w:val="24"/>
                <w:szCs w:val="24"/>
                <w:lang w:eastAsia="ru-RU"/>
              </w:rPr>
              <w:t xml:space="preserve">) началом приема заявлений на размещение на новый срок считается </w:t>
            </w:r>
            <w:r>
              <w:rPr>
                <w:rFonts w:eastAsia="Times New Roman" w:cs="PT Astra Serif" w:ascii="Arial" w:hAnsi="Arial"/>
                <w:b/>
                <w:bCs/>
                <w:color w:val="000000"/>
                <w:sz w:val="24"/>
                <w:szCs w:val="24"/>
                <w:shd w:fill="AFD095" w:val="clear"/>
                <w:lang w:eastAsia="ru-RU"/>
              </w:rPr>
              <w:t>второй рабочий вторник ноября.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/>
                <w:sz w:val="24"/>
                <w:szCs w:val="24"/>
                <w:shd w:fill="FFD7D7" w:val="clear"/>
              </w:rPr>
            </w:pPr>
            <w:r>
              <w:rPr>
                <w:rFonts w:ascii="Arial" w:hAnsi="Arial"/>
                <w:sz w:val="24"/>
                <w:szCs w:val="24"/>
                <w:shd w:fill="FFD7D7" w:val="clear"/>
              </w:rPr>
              <w:t>При поступлении двух и более заявлений о размещении нестационарного объекта уличной торговли в отношении одного места в соответствии со схемой размещения нестационарных торговых объектов, при вынесении решения учитывается очередность подачи заявления (дата, время) в МФЦ.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Постановление Администрации города Кургана от 25.10.2021 г. № 7511 Об утверждении Административного регламента предоставления Департаментом экономического развития, предпринимательства и торговли Администрации города Кургана муниципальной услуги «Заключение договоров на размещение нестационарного объекта уличной торговли или летнего кафе на территории города Кургана».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5"/>
        </w:tabs>
        <w:ind w:left="18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5">
      <w:start w:val="1"/>
      <w:numFmt w:val="bullet"/>
      <w:lvlText w:val="▪"/>
      <w:lvlJc w:val="left"/>
      <w:pPr>
        <w:tabs>
          <w:tab w:val="num" w:pos="2955"/>
        </w:tabs>
        <w:ind w:left="29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5"/>
        </w:tabs>
        <w:ind w:left="4035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Символ нумерации"/>
    <w:qFormat/>
    <w:rPr/>
  </w:style>
  <w:style w:type="character" w:styleId="ConsPlusNormal">
    <w:name w:val="ConsPlusNormal Знак"/>
    <w:qFormat/>
    <w:rPr>
      <w:rFonts w:ascii="Calibri" w:hAnsi="Calibri"/>
      <w:sz w:val="22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4" w:customStyle="1">
    <w:name w:val="Содержимое таблицы"/>
    <w:basedOn w:val="Normal"/>
    <w:qFormat/>
    <w:pPr/>
    <w:rPr/>
  </w:style>
  <w:style w:type="paragraph" w:styleId="Style25" w:customStyle="1">
    <w:name w:val="Заголовок таблицы"/>
    <w:basedOn w:val="Style24"/>
    <w:qFormat/>
    <w:pPr/>
    <w:rPr/>
  </w:style>
  <w:style w:type="paragraph" w:styleId="NormalWeb">
    <w:name w:val="Normal (Web)"/>
    <w:basedOn w:val="Normal"/>
    <w:qFormat/>
    <w:pPr>
      <w:spacing w:lineRule="auto" w:line="324" w:before="0" w:after="360"/>
    </w:pPr>
    <w:rPr>
      <w:sz w:val="24"/>
      <w:szCs w:val="24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Application>LibreOffice/7.0.4.2$Windows_X86_64 LibreOffice_project/dcf040e67528d9187c66b2379df5ea4407429775</Application>
  <AppVersion>15.0000</AppVersion>
  <Pages>4</Pages>
  <Words>574</Words>
  <Characters>4319</Characters>
  <CharactersWithSpaces>4787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2024-01-29T13:33:27Z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