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0" w:type="dxa"/>
        <w:jc w:val="left"/>
        <w:tblInd w:w="-3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33"/>
        <w:gridCol w:w="13167"/>
      </w:tblGrid>
      <w:tr>
        <w:trPr>
          <w:trHeight w:val="571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shd w:fill="FFFFFF" w:val="clear"/>
              </w:rPr>
              <w:t>Выдача разрешения на право организации розничного рынка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 xml:space="preserve">Подуслуги: 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подуслуга 1: "Выдача разрешения на право организации розничного рынка";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 МФЦ не оказывается, обращаются в Департамент!!!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подуслуга 2: "Продление разрешения на право организации розничного рынка";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подуслуга 3: "Переоформление разрешения на право организации розничного рынка".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16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Постановление Администрации города Кургана № 4989 от 17.07.2012 Об утверждении Административного регламента предоставления Департаментом экономического развития, предпринимательства и торговли Администрации города Кургана муниципальной услуги «Выдача разрешения на право организации розничного рынка» (в ред. Постановлений Администрации города Кургана </w:t>
            </w:r>
            <w:r>
              <w:rPr>
                <w:rFonts w:ascii="Arial" w:hAnsi="Arial"/>
                <w:sz w:val="22"/>
                <w:szCs w:val="22"/>
              </w:rPr>
              <w:t xml:space="preserve">от 25.11.2013 </w:t>
            </w:r>
            <w:hyperlink r:id="rId2">
              <w:r>
                <w:rPr>
                  <w:rFonts w:ascii="Arial" w:hAnsi="Arial"/>
                  <w:color w:val="0000FF"/>
                  <w:sz w:val="22"/>
                  <w:szCs w:val="22"/>
                </w:rPr>
                <w:t>N 8752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от 31.10.2014 </w:t>
            </w:r>
            <w:hyperlink r:id="rId3">
              <w:r>
                <w:rPr>
                  <w:rFonts w:ascii="Arial" w:hAnsi="Arial"/>
                  <w:color w:val="0000FF"/>
                  <w:sz w:val="22"/>
                  <w:szCs w:val="22"/>
                </w:rPr>
                <w:t>N 8389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от 23.11.2015 </w:t>
            </w:r>
            <w:hyperlink r:id="rId4">
              <w:r>
                <w:rPr>
                  <w:rFonts w:ascii="Arial" w:hAnsi="Arial"/>
                  <w:color w:val="0000FF"/>
                  <w:sz w:val="22"/>
                  <w:szCs w:val="22"/>
                </w:rPr>
                <w:t>N 8628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от 04.02.2016 </w:t>
            </w:r>
            <w:hyperlink r:id="rId5">
              <w:r>
                <w:rPr>
                  <w:rFonts w:ascii="Arial" w:hAnsi="Arial"/>
                  <w:color w:val="0000FF"/>
                  <w:sz w:val="22"/>
                  <w:szCs w:val="22"/>
                </w:rPr>
                <w:t>N 567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от 02.03.2017 </w:t>
            </w:r>
            <w:hyperlink r:id="rId6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N 1498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, от 24.07.2017 </w:t>
            </w:r>
            <w:hyperlink r:id="rId7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N 5515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, от 11.05.2021 </w:t>
            </w:r>
            <w:hyperlink r:id="rId8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N 3130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, от 26.04.2022 </w:t>
            </w:r>
            <w:hyperlink r:id="rId9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N 2656</w:t>
              </w:r>
            </w:hyperlink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) 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16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Администраци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ей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города Кургана</w:t>
            </w:r>
          </w:p>
        </w:tc>
      </w:tr>
      <w:tr>
        <w:trPr>
          <w:trHeight w:val="571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16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Департамент экономического развития, предпринимательства и торговли Администрации города Кургана</w:t>
            </w:r>
          </w:p>
        </w:tc>
      </w:tr>
      <w:tr>
        <w:trPr>
          <w:trHeight w:val="486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О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тдел торговли и потребительского рынка, </w:t>
            </w:r>
            <w:r>
              <w:rPr>
                <w:rFonts w:ascii="Arial" w:hAnsi="Arial"/>
                <w:sz w:val="22"/>
                <w:szCs w:val="22"/>
              </w:rPr>
              <w:t xml:space="preserve">пл. им. В.И. Ленина, дом № 1, кабинеты №№ 126, 42-84-83 (доб. 828) 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Ч</w:t>
            </w:r>
            <w:r>
              <w:rPr>
                <w:rFonts w:ascii="Arial" w:hAnsi="Arial"/>
                <w:sz w:val="22"/>
                <w:szCs w:val="22"/>
              </w:rPr>
              <w:t xml:space="preserve">асы работы: </w:t>
            </w:r>
            <w:r>
              <w:rPr>
                <w:rFonts w:eastAsia="Times New Roman" w:cs="Calibri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Пн-Пт </w:t>
            </w:r>
            <w:r>
              <w:rPr>
                <w:rFonts w:ascii="Arial" w:hAnsi="Arial"/>
                <w:sz w:val="22"/>
                <w:szCs w:val="22"/>
              </w:rPr>
              <w:t xml:space="preserve">с 8-30 ч. до 17-30 ч., обед с 12-00 ч. до 13-00 ч. </w:t>
            </w:r>
          </w:p>
        </w:tc>
      </w:tr>
      <w:tr>
        <w:trPr>
          <w:trHeight w:val="486" w:hRule="atLeast"/>
        </w:trPr>
        <w:tc>
          <w:tcPr>
            <w:tcW w:w="29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316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>Ю</w:t>
            </w:r>
            <w:r>
              <w:rPr>
                <w:rFonts w:ascii="Arial" w:hAnsi="Arial"/>
                <w:sz w:val="22"/>
                <w:szCs w:val="22"/>
                <w:shd w:fill="FFFFFF" w:val="clear"/>
              </w:rPr>
              <w:t>ридические лица, зарегистрированные в установленном законодательством РФ порядке, которым принадлежат объект или объекты недвижимости, расположенные на территории, в пределах которой предполагается организация рынка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заявление, с указанием: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полного и (в случае, если имеется) сокращенного наименования, в том числе фирменного наименования, и организационно-правовой формы юридического лица, места его нахождения, места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идентификационного номера налогоплательщика и данные документа о постановке юридического лица на учет в налоговом органе;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типа рынка, который предполагается организовать;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bookmarkStart w:id="0" w:name="P502"/>
            <w:bookmarkEnd w:id="0"/>
            <w:r>
              <w:rPr>
                <w:rFonts w:ascii="Arial" w:hAnsi="Arial"/>
                <w:sz w:val="22"/>
                <w:szCs w:val="22"/>
              </w:rPr>
              <w:t>2) копии учредительных документов (оригиналы учредительных документов в случае, если верность копий не удостоверена нотариально).</w:t>
            </w:r>
          </w:p>
        </w:tc>
      </w:tr>
      <w:tr>
        <w:trPr>
          <w:trHeight w:val="708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выписка из Единого государственного реестра юридических лиц или ее нотариально удостоверенная копия.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lang w:eastAsia="ru-RU"/>
              </w:rPr>
              <w:t>езультат в МФЦ не поступает!!!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Выдача заявителю разрешения на право организации розничного рынка;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2)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тказ в выдаче разрешения;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hd w:val="clear" w:color="auto" w:fill="FFFFFF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Н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 более 30 календарных дней со дня поступления заявления о выдаче разрешения на право организации розничного рынка;</w:t>
            </w:r>
          </w:p>
        </w:tc>
      </w:tr>
      <w:tr>
        <w:trPr/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9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16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 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на бесплатной основе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3862B69A444A07CAF362E9FC56E76872F30DE2CCC5EF0EBA926915BAEE1058653A43A39C0F0DDBBD29B5DUFU5I" TargetMode="External"/><Relationship Id="rId3" Type="http://schemas.openxmlformats.org/officeDocument/2006/relationships/hyperlink" Target="consultantplus://offline/ref=E3862B69A444A07CAF362E9FC56E76872F30DE2CCD57F7E4A126915BAEE1058653A43A39C0F0DDBBD29B5DUFU5I" TargetMode="External"/><Relationship Id="rId4" Type="http://schemas.openxmlformats.org/officeDocument/2006/relationships/hyperlink" Target="consultantplus://offline/ref=E3862B69A444A07CAF362E9FC56E76872F30DE2CCD50F6EFA226915BAEE1058653A43A39C0F0DDBBD29B5DUFU5I" TargetMode="External"/><Relationship Id="rId5" Type="http://schemas.openxmlformats.org/officeDocument/2006/relationships/hyperlink" Target="consultantplus://offline/ref=E3862B69A444A07CAF362E9FC56E76872F30DE2CCD51F7E5A626915BAEE1058653A43A39C0F0DDBBD29B5DUFU5I" TargetMode="External"/><Relationship Id="rId6" Type="http://schemas.openxmlformats.org/officeDocument/2006/relationships/hyperlink" Target="consultantplus://offline/ref=E3862B69A444A07CAF362E9FC56E76872F30DE2CCA54F1E9A426915BAEE1058653A43A39C0F0DDBBD29B5DUFU5I" TargetMode="External"/><Relationship Id="rId7" Type="http://schemas.openxmlformats.org/officeDocument/2006/relationships/hyperlink" Target="consultantplus://offline/ref=E3862B69A444A07CAF362E9FC56E76872F30DE2CCA52F5EBA926915BAEE1058653A43A39C0F0DDBBD29B5DUFU5I" TargetMode="External"/><Relationship Id="rId8" Type="http://schemas.openxmlformats.org/officeDocument/2006/relationships/hyperlink" Target="consultantplus://offline/ref=E3862B69A444A07CAF362E9FC56E76872F30DE2CCA52F5EBA926915BAEE1058653A43A39C0F0DDBBD29B5DUFU5I" TargetMode="External"/><Relationship Id="rId9" Type="http://schemas.openxmlformats.org/officeDocument/2006/relationships/hyperlink" Target="consultantplus://offline/ref=E3862B69A444A07CAF362E9FC56E76872F30DE2CCA52F5EBA926915BAEE1058653A43A39C0F0DDBBD29B5DUFU5I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LibreOffice/7.0.4.2$Windows_X86_64 LibreOffice_project/dcf040e67528d9187c66b2379df5ea4407429775</Application>
  <AppVersion>15.0000</AppVersion>
  <DocSecurity>0</DocSecurity>
  <Pages>2</Pages>
  <Words>384</Words>
  <Characters>2710</Characters>
  <CharactersWithSpaces>3064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2019-04-05T06:22:00Z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2024-09-12T16:19:15Z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