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shd w:fill="FFFFFF" w:val="clear"/>
              </w:rPr>
              <w:t>Выдача разрешения на право организации розничного рынка</w:t>
            </w:r>
          </w:p>
        </w:tc>
      </w:tr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Департамент экономического развития, предпринимательства и торговли Администрации города Кургана</w:t>
            </w:r>
          </w:p>
        </w:tc>
      </w:tr>
      <w:tr>
        <w:trPr>
          <w:trHeight w:val="48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tabs>
                <w:tab w:val="clear" w:pos="708"/>
                <w:tab w:val="left" w:pos="0" w:leader="none"/>
              </w:tabs>
              <w:spacing w:before="220"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 xml:space="preserve">Заявителями при предоставлении муниципальной услуги выступают: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shd w:fill="FFFFFF" w:val="clear"/>
              </w:rPr>
              <w:t>юридические лица</w:t>
            </w: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 xml:space="preserve">, зарегистрированные в установленном законодательством РФ порядке, которым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shd w:fill="FFFFFF" w:val="clear"/>
              </w:rPr>
              <w:t>принадлежат объект</w:t>
            </w: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 xml:space="preserve"> или объекты недвижимости, расположенные на территории, в пределах которой предполагается организация рынка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Департаментом экономического развития, предпринимательства и торговли Администрации города Кургана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- заявление </w:t>
            </w:r>
            <w:r>
              <w:rPr>
                <w:rFonts w:cs="Arial" w:ascii="Arial" w:hAnsi="Arial"/>
                <w:sz w:val="24"/>
                <w:szCs w:val="24"/>
              </w:rPr>
              <w:t>о выдаче разрешения на право организации розничного рынка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копии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учредительны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х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документ</w:t>
            </w:r>
            <w:r>
              <w:rPr>
                <w:rFonts w:eastAsia="Calibri" w:cs="Arial" w:ascii="Arial" w:hAnsi="Arial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ов</w:t>
            </w:r>
          </w:p>
        </w:tc>
      </w:tr>
      <w:tr>
        <w:trPr>
          <w:trHeight w:val="708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1)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Выдача заявителю разрешения на право организации розничного рынка либо отказ в выдаче разрешения.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Не более 30 календарных дней со дня поступления заявления о выдаче разрешения на право организации розничного рынка из МФЦ в ведомство.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Основания для отказа в приеме документов отсутствуют.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Муниципальная услуга предоставляется на бесплатной основе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FFFFFF" w:val="clear"/>
                <w:lang w:eastAsia="ru-RU"/>
              </w:rPr>
              <w:t>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highlight w:val="yellow"/>
                <w:lang w:eastAsia="ru-RU"/>
              </w:rPr>
            </w:r>
          </w:p>
        </w:tc>
      </w:tr>
      <w:tr>
        <w:trPr/>
        <w:tc>
          <w:tcPr>
            <w:tcW w:w="2447" w:type="dxa"/>
            <w:tcBorders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4"/>
                <w:szCs w:val="24"/>
                <w:lang w:eastAsia="ru-RU"/>
              </w:rPr>
              <w:t>Информация о порядке предоставления услуги предоставляется</w:t>
            </w:r>
          </w:p>
        </w:tc>
        <w:tc>
          <w:tcPr>
            <w:tcW w:w="1299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>В Департаменте экономического развития, предпринимательства и торговли Администрации города Кургана, отдел развити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FFFFFF" w:val="clear"/>
                <w:lang w:eastAsia="ru-RU"/>
              </w:rPr>
              <w:t>я 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>нестационарной торговли Департамента экономического развития, предпринимательства и торговли Администрации города Кургана по адресу: 640002, г. Курган, пл. им. В.И. Ленина, дом № 1, кабинеты №№ 126,226.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>- 41-77-68, 42-84-85 приемная Департамента экономического развития, предпринимательства и торговли Администрации города Кургана;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>- 42-84-83 отдел торговли и потребительского рынка Департамента экономического развития, предпринимательства и торговли Администрации города Кургана.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</w:r>
          </w:p>
        </w:tc>
      </w:tr>
      <w:tr>
        <w:trPr>
          <w:trHeight w:val="6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EDEDED"/>
              <w:spacing w:lineRule="auto" w:line="240" w:before="0" w:after="0"/>
              <w:ind w:left="0" w:hanging="0"/>
              <w:outlineLvl w:val="0"/>
              <w:rPr>
                <w:rFonts w:ascii="Arial" w:hAnsi="Arial" w:eastAsia="Times New Roman" w:cs="Arial"/>
                <w:color w:val="1C1C1C"/>
                <w:kern w:val="2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kern w:val="2"/>
                <w:sz w:val="24"/>
                <w:szCs w:val="24"/>
                <w:shd w:fill="auto" w:val="clear"/>
                <w:lang w:eastAsia="ru-RU"/>
              </w:rPr>
              <w:t>Постановление Администрации города Кургана от 17.07.2012 № 4989 «Об утверждении Административного регламента предоставления Департаментом экономического развития, предпринимательства и торговли Администрации города Кургана муниципальной услуги «Выдача разрешения на право организации розничного рынка»</w:t>
            </w:r>
          </w:p>
          <w:p>
            <w:pPr>
              <w:pStyle w:val="ConsPlusTitle"/>
              <w:widowControl w:val="false"/>
              <w:jc w:val="both"/>
              <w:rPr>
                <w:rFonts w:ascii="Arial" w:hAnsi="Arial" w:cs="Arial"/>
                <w:b w:val="false"/>
                <w:b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Приложение 1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32"/>
        <w:jc w:val="center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b/>
          <w:bCs/>
          <w:color w:val="000000"/>
          <w:sz w:val="24"/>
          <w:szCs w:val="24"/>
          <w:lang w:eastAsia="ru-RU"/>
        </w:rPr>
        <w:t>ИСЧЕРПЫВАЮЩИЙ ПЕРЕЧЕНЬ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32"/>
        <w:jc w:val="center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b/>
          <w:bCs/>
          <w:color w:val="000000"/>
          <w:sz w:val="24"/>
          <w:szCs w:val="24"/>
          <w:lang w:eastAsia="ru-RU"/>
        </w:rPr>
        <w:t>документов для выдачи разрешения на право организации розничного рынка, подлежащих представлению заявителем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32"/>
        <w:jc w:val="center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b/>
          <w:bCs/>
          <w:color w:val="000000"/>
          <w:sz w:val="24"/>
          <w:szCs w:val="24"/>
          <w:lang w:eastAsia="ru-RU"/>
        </w:rPr>
        <w:t>(подуслуга 1)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58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1) заявление о выдаче разрешения на право организации розничного рынка по форме согласно приложению 2 к Административному регламенту, с указанием: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31"/>
        <w:jc w:val="both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- полного и (в случае, если имеется) сокращенного наименования, в том числе фирменного наименования, и организационно-правовой формы юридического лица, места его нахождения, места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31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- идентификационного номера налогоплательщика и данные документа о постановке юридического лица на учет в налоговом органе;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31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- типа рынка, который предполагается организовать;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31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2) копии учредительных документов (оригиналы учредительных документов в случае, если верность копий не удостоверена нотариально).</w:t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Приложение 2</w:t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firstLine="532"/>
        <w:jc w:val="center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b/>
          <w:bCs/>
          <w:color w:val="000000"/>
          <w:sz w:val="24"/>
          <w:szCs w:val="24"/>
          <w:lang w:eastAsia="ru-RU"/>
        </w:rPr>
        <w:t>ИСЧЕРПЫВАЮЩИЙ ПЕРЕЧЕНЬ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32"/>
        <w:jc w:val="center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b/>
          <w:bCs/>
          <w:color w:val="000000"/>
          <w:sz w:val="24"/>
          <w:szCs w:val="24"/>
          <w:lang w:eastAsia="ru-RU"/>
        </w:rPr>
        <w:t>документов для продления разрешения на право организации розничного рынка,подлежащих представлению заявителем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32"/>
        <w:jc w:val="center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b/>
          <w:bCs/>
          <w:color w:val="000000"/>
          <w:sz w:val="24"/>
          <w:szCs w:val="24"/>
          <w:lang w:eastAsia="ru-RU"/>
        </w:rPr>
        <w:t>(подуслуга 2)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58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1) заявление о продлении срока действия разрешения на право организации розничного рынка по форме, согласно приложению 2 к Административному регламенту, с указанием: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31"/>
        <w:jc w:val="both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- полного и (в случае, если имеется) сокращенного наименования, в том числе фирменного наименования, и организационно-правовой формы юридического лица, места его нахождения, места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31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- идентификационного номера налогоплательщика и данные документа о постановке юридического лица на учет в налоговом органе;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58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2) экземпляр разрешения на право организации розничного рынка, подлежащий продлению.</w:t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Приложение 3</w:t>
      </w:r>
    </w:p>
    <w:p>
      <w:pPr>
        <w:pStyle w:val="Normal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firstLine="532"/>
        <w:jc w:val="center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b/>
          <w:bCs/>
          <w:color w:val="000000"/>
          <w:sz w:val="24"/>
          <w:szCs w:val="24"/>
          <w:lang w:eastAsia="ru-RU"/>
        </w:rPr>
        <w:t>ИСЧЕРПЫВАЮЩИЙ ПЕРЕЧЕНЬ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32"/>
        <w:jc w:val="center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b/>
          <w:bCs/>
          <w:color w:val="000000"/>
          <w:sz w:val="24"/>
          <w:szCs w:val="24"/>
          <w:lang w:eastAsia="ru-RU"/>
        </w:rPr>
        <w:t>документов для переоформления разрешения на право организации розничного рынка,подлежащих представлению заявителем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32"/>
        <w:jc w:val="center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b/>
          <w:bCs/>
          <w:color w:val="000000"/>
          <w:sz w:val="24"/>
          <w:szCs w:val="24"/>
          <w:lang w:eastAsia="ru-RU"/>
        </w:rPr>
        <w:t>(подуслуга 3)</w:t>
      </w:r>
    </w:p>
    <w:p>
      <w:pPr>
        <w:pStyle w:val="Normal"/>
        <w:shd w:val="clear" w:color="auto" w:fill="FFFFFF"/>
        <w:spacing w:lineRule="auto" w:line="240" w:beforeAutospacing="1" w:afterAutospacing="1"/>
        <w:ind w:firstLine="697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1) заявление о продлении срока действия разрешения на право организации розничного рынка по форме, согласно приложению 2 к Административному регламенту, с указанием: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31"/>
        <w:jc w:val="both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- полного и (в случае, если имеется) сокращенного наименования, в том числе фирменного наименования, и организационно-правовой формы юридического лица, места его нахождения, места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31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- идентификационного номера налогоплательщика и данные документа о постановке юридического лица на учет в налоговом органе;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697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- предполагаемого изменения типа рынка;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697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2) документы, подтверждающие реорганизацию заявителя - юридического лица в форме преобразования, изменения его наименования</w:t>
      </w:r>
      <w:r>
        <w:rPr>
          <w:rFonts w:eastAsia="Times New Roman" w:cs="Open Sans" w:ascii="Open Sans" w:hAnsi="Open Sans"/>
          <w:b/>
          <w:bCs/>
          <w:color w:val="000000"/>
          <w:sz w:val="24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697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3) экземпляр разрешения на право организации розничного рынка, подлежащий переоформлению;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697"/>
        <w:rPr>
          <w:rFonts w:ascii="Open Sans" w:hAnsi="Open Sans" w:eastAsia="Times New Roman" w:cs="Open Sans"/>
          <w:color w:val="000000"/>
          <w:sz w:val="24"/>
          <w:szCs w:val="24"/>
          <w:lang w:eastAsia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eastAsia="ru-RU"/>
        </w:rPr>
        <w:t>4) копии учредительных документов (оригиналы учредительных документов в случае, если верность копий не удостоверена нотариально).</w:t>
      </w:r>
    </w:p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LibreOffice/7.0.0.3$Windows_X86_64 LibreOffice_project/8061b3e9204bef6b321a21033174034a5e2ea88e</Application>
  <Pages>6</Pages>
  <Words>708</Words>
  <Characters>5339</Characters>
  <CharactersWithSpaces>5992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2019-04-05T06:22:00Z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2022-09-29T15:35:53Z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