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523" w:type="dxa"/>
        <w:jc w:val="left"/>
        <w:tblInd w:w="135" w:type="dxa"/>
        <w:tblLayout w:type="fixed"/>
        <w:tblCellMar>
          <w:top w:w="150" w:type="dxa"/>
          <w:left w:w="150" w:type="dxa"/>
          <w:bottom w:w="150" w:type="dxa"/>
          <w:right w:w="150" w:type="dxa"/>
        </w:tblCellMar>
        <w:tblLook w:firstRow="1" w:noVBand="1" w:lastRow="0" w:firstColumn="1" w:lastColumn="0" w:noHBand="0" w:val="04a0"/>
      </w:tblPr>
      <w:tblGrid>
        <w:gridCol w:w="2775"/>
        <w:gridCol w:w="12747"/>
      </w:tblGrid>
      <w:tr>
        <w:trPr>
          <w:trHeight w:val="571" w:hRule="atLeast"/>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jc w:val="left"/>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Наименование услуги</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3"/>
              <w:widowControl w:val="false"/>
              <w:numPr>
                <w:ilvl w:val="2"/>
                <w:numId w:val="2"/>
              </w:numPr>
              <w:spacing w:lineRule="auto" w:line="240" w:before="0" w:after="0"/>
              <w:rPr>
                <w:rFonts w:ascii="Arial" w:hAnsi="Arial" w:eastAsia="Times New Roman" w:cs="Arial"/>
                <w:b/>
                <w:b/>
                <w:sz w:val="24"/>
                <w:szCs w:val="24"/>
                <w:lang w:eastAsia="ru-RU"/>
              </w:rPr>
            </w:pPr>
            <w:r>
              <w:rPr>
                <w:rFonts w:eastAsia="Times New Roman" w:cs="Arial" w:ascii="Arial" w:hAnsi="Arial"/>
                <w:b/>
                <w:sz w:val="24"/>
                <w:szCs w:val="24"/>
                <w:lang w:eastAsia="ru-RU"/>
              </w:rPr>
              <w:t>Выдача специального разрешения на движение по автомобильным дорогам тяжеловесного и (или) крупногабаритного транспортного средства</w:t>
            </w:r>
          </w:p>
          <w:p>
            <w:pPr>
              <w:pStyle w:val="Normal"/>
              <w:widowControl w:val="false"/>
              <w:spacing w:lineRule="auto" w:line="240" w:before="0" w:after="0"/>
              <w:rPr>
                <w:rFonts w:ascii="Arial" w:hAnsi="Arial" w:eastAsia="Times New Roman" w:cs="Arial"/>
                <w:b/>
                <w:b/>
                <w:sz w:val="24"/>
                <w:szCs w:val="24"/>
                <w:lang w:eastAsia="ru-RU"/>
              </w:rPr>
            </w:pPr>
            <w:r>
              <w:rPr>
                <w:rFonts w:eastAsia="Times New Roman" w:cs="Arial" w:ascii="Arial" w:hAnsi="Arial"/>
                <w:b/>
                <w:sz w:val="24"/>
                <w:szCs w:val="24"/>
                <w:lang w:eastAsia="ru-RU"/>
              </w:rPr>
            </w:r>
          </w:p>
        </w:tc>
      </w:tr>
      <w:tr>
        <w:trPr>
          <w:trHeight w:val="571" w:hRule="atLeast"/>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jc w:val="left"/>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Ответственный орган</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rPr>
                <w:rFonts w:ascii="Arial" w:hAnsi="Arial" w:cs="Arial"/>
                <w:sz w:val="24"/>
                <w:szCs w:val="24"/>
              </w:rPr>
            </w:pPr>
            <w:r>
              <w:rPr>
                <w:rFonts w:cs="Arial" w:ascii="Arial" w:hAnsi="Arial"/>
                <w:sz w:val="24"/>
                <w:szCs w:val="24"/>
              </w:rPr>
              <w:t>Департамент  развития городского хозяйства Администрации города Кургана</w:t>
            </w:r>
          </w:p>
        </w:tc>
      </w:tr>
      <w:tr>
        <w:trPr>
          <w:trHeight w:val="1110" w:hRule="atLeast"/>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jc w:val="left"/>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Заявители</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gbinding"/>
              <w:widowControl w:val="false"/>
              <w:shd w:val="clear" w:color="auto" w:fill="FFFFFF"/>
              <w:spacing w:lineRule="atLeast" w:line="300" w:beforeAutospacing="0" w:before="390" w:afterAutospacing="0" w:after="300"/>
              <w:jc w:val="both"/>
              <w:rPr>
                <w:rFonts w:ascii="Arial" w:hAnsi="Arial" w:cs="Arial"/>
                <w:sz w:val="24"/>
                <w:szCs w:val="24"/>
              </w:rPr>
            </w:pPr>
            <w:r>
              <w:rPr>
                <w:rFonts w:cs="Arial" w:ascii="Arial" w:hAnsi="Arial"/>
                <w:sz w:val="24"/>
                <w:szCs w:val="24"/>
              </w:rPr>
              <w:t>Физические лица, юридические лица или индивидуальные предприниматели, являющиеся владельцами транспортного средства или их представите</w:t>
            </w:r>
            <w:bookmarkStart w:id="0" w:name="_GoBack"/>
            <w:bookmarkEnd w:id="0"/>
            <w:r>
              <w:rPr>
                <w:rFonts w:cs="Arial" w:ascii="Arial" w:hAnsi="Arial"/>
                <w:sz w:val="24"/>
                <w:szCs w:val="24"/>
              </w:rPr>
              <w:t>ли.</w:t>
            </w:r>
          </w:p>
        </w:tc>
      </w:tr>
      <w:tr>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jc w:val="left"/>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Услуга предоставляется</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ConsPlusNormal"/>
              <w:widowControl w:val="false"/>
              <w:spacing w:before="220" w:after="0"/>
              <w:jc w:val="both"/>
              <w:rPr>
                <w:rFonts w:ascii="Arial" w:hAnsi="Arial" w:cs="Arial"/>
                <w:sz w:val="24"/>
                <w:szCs w:val="24"/>
              </w:rPr>
            </w:pPr>
            <w:r>
              <w:rPr>
                <w:rFonts w:cs="Arial" w:ascii="Arial" w:hAnsi="Arial"/>
                <w:sz w:val="24"/>
                <w:szCs w:val="24"/>
              </w:rPr>
              <w:t>Департаментом развития городского хозяйства Администрации города Кургана</w:t>
            </w:r>
          </w:p>
        </w:tc>
      </w:tr>
      <w:tr>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jc w:val="left"/>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Обязательные</w:t>
            </w:r>
          </w:p>
          <w:p>
            <w:pPr>
              <w:pStyle w:val="Normal"/>
              <w:widowControl w:val="false"/>
              <w:spacing w:lineRule="auto" w:line="240" w:before="0" w:after="0"/>
              <w:jc w:val="left"/>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документы</w:t>
            </w:r>
          </w:p>
          <w:p>
            <w:pPr>
              <w:pStyle w:val="Normal"/>
              <w:widowControl w:val="false"/>
              <w:spacing w:lineRule="auto" w:line="240" w:before="0" w:after="0"/>
              <w:jc w:val="left"/>
              <w:rPr>
                <w:color w:val="481D32" w:themeColor="accent4" w:themeShade="80"/>
              </w:rPr>
            </w:pPr>
            <w:r>
              <w:rPr>
                <w:color w:val="481D32" w:themeColor="accent4" w:themeShade="80"/>
              </w:rPr>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numPr>
                <w:ilvl w:val="0"/>
                <w:numId w:val="3"/>
              </w:numPr>
              <w:spacing w:lineRule="auto" w:line="240" w:beforeAutospacing="1" w:after="0"/>
              <w:rPr>
                <w:rFonts w:ascii="Arial" w:hAnsi="Arial" w:eastAsia="Times New Roman" w:cs="Arial"/>
                <w:i/>
                <w:i/>
                <w:iCs/>
                <w:sz w:val="24"/>
                <w:szCs w:val="24"/>
                <w:lang w:eastAsia="ru-RU"/>
              </w:rPr>
            </w:pPr>
            <w:hyperlink r:id="rId2">
              <w:r>
                <w:rPr>
                  <w:rFonts w:eastAsia="Times New Roman" w:cs="Arial" w:ascii="Arial" w:hAnsi="Arial"/>
                  <w:i w:val="false"/>
                  <w:iCs w:val="false"/>
                  <w:sz w:val="24"/>
                  <w:szCs w:val="24"/>
                  <w:lang w:eastAsia="ru-RU"/>
                </w:rPr>
                <w:t>Заявление</w:t>
              </w:r>
            </w:hyperlink>
            <w:r>
              <w:rPr>
                <w:rFonts w:eastAsia="Times New Roman" w:cs="Arial" w:ascii="Arial" w:hAnsi="Arial"/>
                <w:i w:val="false"/>
                <w:iCs w:val="false"/>
                <w:sz w:val="24"/>
                <w:szCs w:val="24"/>
                <w:lang w:eastAsia="ru-RU"/>
              </w:rPr>
              <w:t xml:space="preserve"> по форме, согласно Приказу Минтранса РФ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pPr>
              <w:pStyle w:val="Style17"/>
              <w:widowControl w:val="false"/>
              <w:numPr>
                <w:ilvl w:val="0"/>
                <w:numId w:val="3"/>
              </w:numPr>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pPr>
              <w:pStyle w:val="Style17"/>
              <w:widowControl w:val="false"/>
              <w:numPr>
                <w:ilvl w:val="0"/>
                <w:numId w:val="0"/>
              </w:numPr>
              <w:spacing w:lineRule="auto" w:line="240" w:before="0" w:after="0"/>
              <w:ind w:left="720" w:hanging="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Style17"/>
              <w:widowControl w:val="false"/>
              <w:numPr>
                <w:ilvl w:val="0"/>
                <w:numId w:val="3"/>
              </w:numPr>
              <w:spacing w:lineRule="auto" w:line="240"/>
              <w:rPr>
                <w:rFonts w:ascii="Arial" w:hAnsi="Arial"/>
                <w:sz w:val="24"/>
                <w:szCs w:val="24"/>
              </w:rPr>
            </w:pPr>
            <w:r>
              <w:rPr>
                <w:rFonts w:ascii="Arial" w:hAnsi="Arial"/>
                <w:sz w:val="24"/>
                <w:szCs w:val="24"/>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Приказе Минтранса РФ от 05.06.2019 г. № 167).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pPr>
              <w:pStyle w:val="Style17"/>
              <w:widowControl w:val="false"/>
              <w:numPr>
                <w:ilvl w:val="0"/>
                <w:numId w:val="3"/>
              </w:numPr>
              <w:spacing w:lineRule="auto" w:line="240"/>
              <w:rPr>
                <w:rFonts w:ascii="Arial" w:hAnsi="Arial"/>
                <w:sz w:val="24"/>
                <w:szCs w:val="24"/>
              </w:rPr>
            </w:pPr>
            <w:r>
              <w:rPr>
                <w:rFonts w:ascii="Arial" w:hAnsi="Arial"/>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pPr>
              <w:pStyle w:val="Style17"/>
              <w:widowControl w:val="false"/>
              <w:numPr>
                <w:ilvl w:val="0"/>
                <w:numId w:val="3"/>
              </w:numPr>
              <w:spacing w:lineRule="auto" w:line="240"/>
              <w:rPr>
                <w:rFonts w:ascii="Arial" w:hAnsi="Arial"/>
                <w:sz w:val="24"/>
                <w:szCs w:val="24"/>
              </w:rPr>
            </w:pPr>
            <w:r>
              <w:rPr>
                <w:rFonts w:ascii="Arial" w:hAnsi="Arial"/>
                <w:sz w:val="24"/>
                <w:szCs w:val="24"/>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pPr>
              <w:pStyle w:val="Style17"/>
              <w:widowControl w:val="false"/>
              <w:numPr>
                <w:ilvl w:val="0"/>
                <w:numId w:val="3"/>
              </w:numPr>
              <w:spacing w:lineRule="auto" w:line="240"/>
              <w:rPr>
                <w:rFonts w:ascii="Arial" w:hAnsi="Arial"/>
                <w:sz w:val="24"/>
                <w:szCs w:val="24"/>
              </w:rPr>
            </w:pPr>
            <w:r>
              <w:rPr>
                <w:rFonts w:ascii="Arial" w:hAnsi="Arial"/>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pPr>
              <w:pStyle w:val="Style17"/>
              <w:widowControl w:val="false"/>
              <w:numPr>
                <w:ilvl w:val="0"/>
                <w:numId w:val="3"/>
              </w:numPr>
              <w:spacing w:lineRule="auto" w:line="240"/>
              <w:rPr>
                <w:rFonts w:ascii="Arial" w:hAnsi="Arial"/>
                <w:sz w:val="24"/>
                <w:szCs w:val="24"/>
              </w:rPr>
            </w:pPr>
            <w:r>
              <w:rPr>
                <w:rFonts w:ascii="Arial" w:hAnsi="Arial"/>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pPr>
              <w:pStyle w:val="Style17"/>
              <w:widowControl w:val="false"/>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заявитель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таком случае, при повторной подачи заявления, документы, указанные в подпунктах 2 — 4 настоящего пункта, не требуются.</w:t>
            </w:r>
          </w:p>
          <w:p>
            <w:pPr>
              <w:pStyle w:val="Style17"/>
              <w:widowControl w:val="false"/>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Style17"/>
              <w:widowControl w:val="false"/>
              <w:spacing w:lineRule="auto" w:line="240"/>
              <w:rPr>
                <w:rFonts w:ascii="Arial" w:hAnsi="Arial"/>
                <w:sz w:val="24"/>
                <w:szCs w:val="24"/>
              </w:rPr>
            </w:pPr>
            <w:bookmarkStart w:id="1" w:name="Par1281"/>
            <w:bookmarkEnd w:id="1"/>
            <w:r>
              <w:rPr>
                <w:rFonts w:ascii="Arial" w:hAnsi="Arial"/>
                <w:sz w:val="24"/>
                <w:szCs w:val="24"/>
              </w:rPr>
              <w:t>Документы, указанные в подпунктах 1 — 3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pPr>
              <w:pStyle w:val="Normal"/>
              <w:widowControl w:val="false"/>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numPr>
                <w:ilvl w:val="0"/>
                <w:numId w:val="0"/>
              </w:numPr>
              <w:spacing w:lineRule="auto" w:line="240" w:beforeAutospacing="1" w:afterAutospacing="1"/>
              <w:ind w:left="720" w:hanging="0"/>
              <w:jc w:val="both"/>
              <w:rPr/>
            </w:pPr>
            <w:r>
              <w:rPr/>
            </w:r>
          </w:p>
          <w:p>
            <w:pPr>
              <w:pStyle w:val="Normal"/>
              <w:widowControl w:val="false"/>
              <w:numPr>
                <w:ilvl w:val="0"/>
                <w:numId w:val="0"/>
              </w:numPr>
              <w:shd w:val="clear" w:color="auto" w:fill="FFFFFF"/>
              <w:spacing w:lineRule="auto" w:line="240" w:beforeAutospacing="1" w:after="0"/>
              <w:ind w:left="720" w:hanging="0"/>
              <w:jc w:val="both"/>
              <w:rPr>
                <w:rFonts w:ascii="Arial" w:hAnsi="Arial" w:cs="Arial"/>
                <w:sz w:val="21"/>
                <w:szCs w:val="21"/>
              </w:rPr>
            </w:pPr>
            <w:r>
              <w:rPr>
                <w:rFonts w:cs="Arial" w:ascii="Arial" w:hAnsi="Arial"/>
                <w:sz w:val="21"/>
                <w:szCs w:val="21"/>
              </w:rPr>
            </w:r>
          </w:p>
        </w:tc>
      </w:tr>
      <w:tr>
        <w:trPr>
          <w:trHeight w:val="710" w:hRule="atLeast"/>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Необязательные документы</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rPr>
                <w:rFonts w:ascii="Arial" w:hAnsi="Arial" w:cs="Arial"/>
                <w:sz w:val="24"/>
                <w:szCs w:val="24"/>
              </w:rPr>
            </w:pPr>
            <w:r>
              <w:rPr>
                <w:rFonts w:eastAsia="Times New Roman" w:cs="Arial" w:ascii="Arial" w:hAnsi="Arial"/>
                <w:sz w:val="24"/>
                <w:szCs w:val="24"/>
                <w:lang w:eastAsia="ru-RU"/>
              </w:rPr>
              <w:t>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tc>
      </w:tr>
      <w:tr>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Результат</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hd w:val="clear" w:color="auto" w:fill="FFFFFF"/>
              <w:spacing w:lineRule="auto" w:line="240" w:beforeAutospacing="1" w:after="0"/>
              <w:jc w:val="both"/>
              <w:rPr>
                <w:rFonts w:ascii="Arial" w:hAnsi="Arial" w:cs="Arial"/>
                <w:sz w:val="24"/>
                <w:szCs w:val="24"/>
              </w:rPr>
            </w:pPr>
            <w:r>
              <w:rPr>
                <w:rFonts w:cs="Arial" w:ascii="Arial" w:hAnsi="Arial"/>
                <w:sz w:val="24"/>
                <w:szCs w:val="24"/>
              </w:rPr>
              <w:t>Выдача заявителю специального разрешения на движение по автомобильным дорогам тяжеловесного и (или) крупногабаритного транспортного средства, либо отказ в предоставлении муниципальной услуги.</w:t>
            </w:r>
          </w:p>
        </w:tc>
      </w:tr>
      <w:tr>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Срок предоставления услуги</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hd w:val="clear" w:color="auto" w:fill="FFFFFF"/>
              <w:spacing w:lineRule="auto" w:line="240" w:beforeAutospacing="1" w:after="0"/>
              <w:rPr>
                <w:rFonts w:ascii="Arial" w:hAnsi="Arial" w:cs="Arial"/>
                <w:sz w:val="24"/>
                <w:szCs w:val="24"/>
              </w:rPr>
            </w:pPr>
            <w:r>
              <w:rPr>
                <w:rFonts w:cs="Arial" w:ascii="Arial" w:hAnsi="Arial"/>
                <w:sz w:val="24"/>
                <w:szCs w:val="24"/>
              </w:rPr>
              <w:t xml:space="preserve">- не более 12 рабочих дней с момента поступления заявления (11 рабочих дней с даты регистрации), в случае, если требуется согласование только владельцев автомобильных дорог, и при наличии соответствующих согласований; </w:t>
              <w:br/>
              <w:t xml:space="preserve">- не более 16 рабочих дней с момента поступления заявления (15 рабочих дней с даты регистрации), в случае необходимости согласования маршрута транспортного средства с Госавтоинспекцией. </w:t>
              <w:b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br/>
              <w:b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w:t>
            </w:r>
          </w:p>
        </w:tc>
      </w:tr>
      <w:tr>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Основания для отказа в приеме заявления</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нет</w:t>
            </w:r>
          </w:p>
        </w:tc>
      </w:tr>
      <w:tr>
        <w:trPr>
          <w:trHeight w:val="523" w:hRule="atLeast"/>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Стоимость</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jc w:val="both"/>
              <w:rPr>
                <w:rFonts w:ascii="Arial" w:hAnsi="Arial" w:cs="Arial"/>
                <w:sz w:val="24"/>
                <w:szCs w:val="24"/>
              </w:rPr>
            </w:pPr>
            <w:r>
              <w:rPr>
                <w:rFonts w:cs="Arial" w:ascii="Arial" w:hAnsi="Arial"/>
                <w:sz w:val="24"/>
                <w:szCs w:val="24"/>
              </w:rPr>
              <w:t>Муниципальная услуга предоставляется на платной основе: - за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уплачивается государственная пошлина в размерах, установленных ст. 333.33 Налогового кодекса Российской Федерации (часть вторая). Вред, причиняемый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Кургана подлежит возмещению в размере, установленном постановлением Администрации города Кургана от 22.05.2012г. № 3315 «О размере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Кургана». Реквизиты для оплаты государственной пошлины, оплаты возмещения вреда, причиняемого транспортными средствами, осуществляющими перевозки тяжеловесных грузов, размещаются на официальном сайте муниципального образования Кургана www.kurgan-city.ru, на информационных стендах Департамента, а также предоставляются на основании устных и письменных обращений.</w:t>
            </w:r>
          </w:p>
        </w:tc>
      </w:tr>
      <w:tr>
        <w:trPr>
          <w:trHeight w:val="1776" w:hRule="atLeast"/>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Иные требования, учитывающие особенности предоставления государственной услуги через МФЦ</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jc w:val="both"/>
              <w:rPr>
                <w:rFonts w:ascii="Arial" w:hAnsi="Arial" w:eastAsia="Times New Roman" w:cs="Arial"/>
                <w:color w:val="55215B"/>
                <w:sz w:val="21"/>
                <w:szCs w:val="21"/>
                <w:highlight w:val="yellow"/>
                <w:lang w:eastAsia="ru-RU"/>
              </w:rPr>
            </w:pPr>
            <w:r>
              <w:rPr>
                <w:rFonts w:eastAsia="Times New Roman" w:cs="Arial" w:ascii="Arial" w:hAnsi="Arial"/>
                <w:color w:val="55215B"/>
                <w:sz w:val="21"/>
                <w:szCs w:val="21"/>
                <w:highlight w:val="yellow"/>
                <w:lang w:eastAsia="ru-RU"/>
              </w:rPr>
            </w:r>
          </w:p>
        </w:tc>
      </w:tr>
      <w:tr>
        <w:trPr>
          <w:trHeight w:val="1776" w:hRule="atLeast"/>
        </w:trPr>
        <w:tc>
          <w:tcPr>
            <w:tcW w:w="2775" w:type="dxa"/>
            <w:tcBorders>
              <w:bottom w:val="single" w:sz="6" w:space="0" w:color="EDEDED"/>
              <w:right w:val="single" w:sz="6" w:space="0" w:color="EDEDED"/>
            </w:tcBorders>
            <w:shd w:fill="DEE6EF" w:val="clear"/>
          </w:tcPr>
          <w:p>
            <w:pPr>
              <w:pStyle w:val="Normal"/>
              <w:widowControl w:val="false"/>
              <w:spacing w:lineRule="auto" w:line="240" w:before="0" w:after="0"/>
              <w:rPr>
                <w:rFonts w:ascii="Arial" w:hAnsi="Arial" w:eastAsia="Times New Roman" w:cs="Arial"/>
                <w:b/>
                <w:b/>
                <w:bCs/>
                <w:color w:val="481D32"/>
                <w:sz w:val="24"/>
                <w:szCs w:val="24"/>
                <w:lang w:eastAsia="ru-RU"/>
              </w:rPr>
            </w:pPr>
            <w:r>
              <w:rPr>
                <w:rFonts w:eastAsia="Times New Roman" w:cs="Arial" w:ascii="Arial" w:hAnsi="Arial"/>
                <w:b/>
                <w:bCs/>
                <w:color w:val="481D32"/>
                <w:sz w:val="24"/>
                <w:szCs w:val="24"/>
                <w:lang w:eastAsia="ru-RU"/>
              </w:rPr>
              <w:t>Информация о порядке предоставления услуги предоставляется</w:t>
            </w:r>
          </w:p>
        </w:tc>
        <w:tc>
          <w:tcPr>
            <w:tcW w:w="12747" w:type="dxa"/>
            <w:tcBorders>
              <w:left w:val="single" w:sz="6" w:space="0" w:color="EDEDED"/>
              <w:bottom w:val="single" w:sz="6" w:space="0" w:color="EDEDED"/>
              <w:right w:val="single" w:sz="6" w:space="0" w:color="EDEDED"/>
            </w:tcBorders>
            <w:shd w:color="auto" w:fill="auto" w:val="clear"/>
          </w:tcPr>
          <w:p>
            <w:pPr>
              <w:pStyle w:val="Normal"/>
              <w:widowControl w:val="false"/>
              <w:tabs>
                <w:tab w:val="clear" w:pos="720"/>
                <w:tab w:val="left" w:pos="7525" w:leader="none"/>
              </w:tabs>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shd w:fill="auto" w:val="clear"/>
                <w:lang w:eastAsia="ru-RU"/>
              </w:rPr>
              <w:t>В Департаменте развития городского хозяйства Администрации города Кургана по адресу: 640000, г. Курган, ул. М. Горького, д. 109, кабинет № 15</w:t>
            </w:r>
          </w:p>
          <w:p>
            <w:pPr>
              <w:pStyle w:val="Normal"/>
              <w:widowControl w:val="false"/>
              <w:tabs>
                <w:tab w:val="clear" w:pos="720"/>
                <w:tab w:val="left" w:pos="7525" w:leader="none"/>
              </w:tabs>
              <w:spacing w:lineRule="auto" w:line="240" w:before="0" w:after="0"/>
              <w:jc w:val="both"/>
              <w:rPr>
                <w:rFonts w:ascii="Arial" w:hAnsi="Arial" w:eastAsia="Times New Roman" w:cs="Arial"/>
                <w:sz w:val="24"/>
                <w:szCs w:val="24"/>
                <w:highlight w:val="yellow"/>
                <w:lang w:eastAsia="ru-RU"/>
              </w:rPr>
            </w:pPr>
            <w:r>
              <w:rPr>
                <w:rFonts w:eastAsia="Times New Roman" w:cs="Arial" w:ascii="Arial" w:hAnsi="Arial"/>
                <w:sz w:val="24"/>
                <w:szCs w:val="24"/>
                <w:highlight w:val="yellow"/>
                <w:lang w:eastAsia="ru-RU"/>
              </w:rPr>
            </w:r>
          </w:p>
          <w:p>
            <w:pPr>
              <w:pStyle w:val="Normal"/>
              <w:widowControl w:val="false"/>
              <w:tabs>
                <w:tab w:val="clear" w:pos="720"/>
                <w:tab w:val="left" w:pos="7525" w:leader="none"/>
              </w:tabs>
              <w:spacing w:lineRule="auto" w:line="240" w:before="0" w:after="0"/>
              <w:jc w:val="both"/>
              <w:rPr>
                <w:rFonts w:ascii="Arial" w:hAnsi="Arial" w:eastAsia="Times New Roman" w:cs="Arial"/>
                <w:sz w:val="24"/>
                <w:szCs w:val="24"/>
                <w:shd w:fill="auto" w:val="clear"/>
                <w:lang w:eastAsia="ru-RU"/>
              </w:rPr>
            </w:pPr>
            <w:r>
              <w:rPr>
                <w:rFonts w:eastAsia="Times New Roman" w:cs="Arial" w:ascii="Arial" w:hAnsi="Arial"/>
                <w:sz w:val="24"/>
                <w:szCs w:val="24"/>
                <w:shd w:fill="auto" w:val="clear"/>
                <w:lang w:eastAsia="ru-RU"/>
              </w:rPr>
              <w:t>42-89-06 – отдел благоустройства, транспорта и охраны окружающей среды Департамента развития городского хозяйства Администрации города Кургана</w:t>
            </w:r>
          </w:p>
        </w:tc>
      </w:tr>
      <w:tr>
        <w:trPr>
          <w:trHeight w:val="626" w:hRule="atLeast"/>
        </w:trPr>
        <w:tc>
          <w:tcPr>
            <w:tcW w:w="2775" w:type="dxa"/>
            <w:tcBorders>
              <w:top w:val="single" w:sz="6" w:space="0" w:color="EDEDED"/>
              <w:bottom w:val="single" w:sz="6" w:space="0" w:color="EDEDED"/>
              <w:right w:val="single" w:sz="6" w:space="0" w:color="EDEDED"/>
            </w:tcBorders>
            <w:shd w:fill="DEE6EF" w:val="clear"/>
          </w:tcPr>
          <w:p>
            <w:pPr>
              <w:pStyle w:val="Normal"/>
              <w:widowControl w:val="false"/>
              <w:spacing w:lineRule="auto" w:line="240" w:before="0" w:after="0"/>
              <w:rPr>
                <w:rFonts w:ascii="Arial" w:hAnsi="Arial" w:eastAsia="Times New Roman" w:cs="Arial"/>
                <w:b/>
                <w:b/>
                <w:color w:val="481D32"/>
                <w:sz w:val="24"/>
                <w:szCs w:val="24"/>
                <w:lang w:eastAsia="ru-RU"/>
              </w:rPr>
            </w:pPr>
            <w:r>
              <w:rPr>
                <w:rFonts w:eastAsia="Times New Roman" w:cs="Arial" w:ascii="Arial" w:hAnsi="Arial"/>
                <w:b/>
                <w:color w:val="481D32" w:themeShade="80"/>
                <w:sz w:val="24"/>
                <w:szCs w:val="24"/>
                <w:lang w:eastAsia="ru-RU"/>
              </w:rPr>
              <w:t>Административный регламент</w:t>
            </w:r>
          </w:p>
        </w:tc>
        <w:tc>
          <w:tcPr>
            <w:tcW w:w="12747" w:type="dxa"/>
            <w:tcBorders>
              <w:top w:val="single" w:sz="6" w:space="0" w:color="EDEDED"/>
              <w:left w:val="single" w:sz="6" w:space="0" w:color="EDEDED"/>
              <w:bottom w:val="single" w:sz="6" w:space="0" w:color="EDEDED"/>
              <w:right w:val="single" w:sz="6" w:space="0" w:color="EDEDED"/>
            </w:tcBorders>
            <w:shd w:color="auto" w:fill="auto" w:val="clear"/>
          </w:tcPr>
          <w:p>
            <w:pPr>
              <w:pStyle w:val="ConsPlusTitle"/>
              <w:widowControl w:val="false"/>
              <w:jc w:val="both"/>
              <w:rPr>
                <w:rFonts w:ascii="Arial" w:hAnsi="Arial"/>
                <w:sz w:val="24"/>
                <w:szCs w:val="24"/>
              </w:rPr>
            </w:pPr>
            <w:r>
              <w:rPr>
                <w:rFonts w:cs="Arial" w:ascii="Arial" w:hAnsi="Arial"/>
                <w:b w:val="false"/>
                <w:color w:val="000000"/>
                <w:sz w:val="24"/>
                <w:szCs w:val="24"/>
              </w:rPr>
              <w:t>Постановление Администрации города Кургана от 28.04.2016 г. № 2740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w:t>
            </w:r>
          </w:p>
          <w:p>
            <w:pPr>
              <w:pStyle w:val="Normal"/>
              <w:widowControl w:val="false"/>
              <w:spacing w:before="0" w:after="200"/>
              <w:jc w:val="both"/>
              <w:rPr>
                <w:rFonts w:ascii="Arial" w:hAnsi="Arial"/>
                <w:sz w:val="24"/>
                <w:szCs w:val="24"/>
              </w:rPr>
            </w:pPr>
            <w:r>
              <w:rPr>
                <w:rFonts w:cs="Arial" w:ascii="Arial" w:hAnsi="Arial"/>
                <w:b w:val="false"/>
                <w:color w:val="000000"/>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p>
        </w:tc>
      </w:tr>
    </w:tbl>
    <w:p>
      <w:pPr>
        <w:pStyle w:val="Normal"/>
        <w:rPr>
          <w:rFonts w:ascii="Arial" w:hAnsi="Arial" w:cs="Arial"/>
          <w:sz w:val="21"/>
          <w:szCs w:val="21"/>
        </w:rPr>
      </w:pPr>
      <w:r>
        <w:rPr>
          <w:rFonts w:cs="Arial" w:ascii="Arial" w:hAnsi="Arial"/>
          <w:sz w:val="21"/>
          <w:szCs w:val="21"/>
        </w:rPr>
      </w:r>
    </w:p>
    <w:p>
      <w:pPr>
        <w:pStyle w:val="Normal"/>
        <w:rPr/>
      </w:pPr>
      <w:r>
        <w:rPr/>
      </w:r>
    </w:p>
    <w:p>
      <w:pPr>
        <w:pStyle w:val="Normal"/>
        <w:rPr/>
      </w:pPr>
      <w:r>
        <w:rPr/>
      </w:r>
    </w:p>
    <w:p>
      <w:pPr>
        <w:pStyle w:val="Normal"/>
        <w:rPr/>
      </w:pPr>
      <w:r>
        <w:rPr/>
      </w:r>
    </w:p>
    <w:p>
      <w:pPr>
        <w:pStyle w:val="Normal"/>
        <w:rPr/>
      </w:pPr>
      <w:r>
        <w:rPr/>
      </w:r>
    </w:p>
    <w:p>
      <w:pPr>
        <w:pStyle w:val="Normal"/>
        <w:spacing w:before="0" w:after="200"/>
        <w:jc w:val="right"/>
        <w:rPr>
          <w:rFonts w:ascii="Arial" w:hAnsi="Arial" w:cs="Arial"/>
          <w:sz w:val="21"/>
          <w:szCs w:val="21"/>
        </w:rPr>
      </w:pPr>
      <w:r>
        <w:rPr/>
      </w:r>
    </w:p>
    <w:sectPr>
      <w:type w:val="nextPage"/>
      <w:pgSz w:orient="landscape" w:w="16838" w:h="11906"/>
      <w:pgMar w:left="851" w:right="1134" w:header="0" w:top="426"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a15b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Style16"/>
    <w:next w:val="Style17"/>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1" w:customStyle="1">
    <w:name w:val="Заголовок 1 Знак"/>
    <w:basedOn w:val="DefaultParagraphFont"/>
    <w:link w:val="1"/>
    <w:uiPriority w:val="9"/>
    <w:qFormat/>
    <w:rsid w:val="000a15b1"/>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9357fa"/>
    <w:rPr>
      <w:color w:val="0000FF"/>
      <w:u w:val="single"/>
    </w:rPr>
  </w:style>
  <w:style w:type="character" w:styleId="Style14">
    <w:name w:val="Выделение"/>
    <w:basedOn w:val="DefaultParagraphFont"/>
    <w:uiPriority w:val="20"/>
    <w:qFormat/>
    <w:rsid w:val="009357fa"/>
    <w:rPr>
      <w:i/>
      <w:iCs/>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ConsPlusTitle" w:customStyle="1">
    <w:name w:val="ConsPlusTitle"/>
    <w:qFormat/>
    <w:rsid w:val="001f41f3"/>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rmal" w:customStyle="1">
    <w:name w:val="ConsPlusNormal"/>
    <w:qFormat/>
    <w:rsid w:val="0039620a"/>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unhideWhenUsed/>
    <w:qFormat/>
    <w:rsid w:val="004b3fc2"/>
    <w:pPr>
      <w:spacing w:lineRule="auto" w:line="240" w:beforeAutospacing="1" w:after="0"/>
      <w:jc w:val="both"/>
    </w:pPr>
    <w:rPr>
      <w:rFonts w:ascii="Times New Roman" w:hAnsi="Times New Roman" w:eastAsia="Times New Roman" w:cs="Times New Roman"/>
      <w:color w:val="000000"/>
      <w:sz w:val="24"/>
      <w:szCs w:val="24"/>
      <w:lang w:eastAsia="ru-RU"/>
    </w:rPr>
  </w:style>
  <w:style w:type="paragraph" w:styleId="Western" w:customStyle="1">
    <w:name w:val="western"/>
    <w:basedOn w:val="Normal"/>
    <w:qFormat/>
    <w:rsid w:val="006c56f7"/>
    <w:pPr>
      <w:spacing w:lineRule="auto" w:line="240" w:beforeAutospacing="1" w:after="0"/>
      <w:jc w:val="both"/>
    </w:pPr>
    <w:rPr>
      <w:rFonts w:ascii="Liberation Sans" w:hAnsi="Liberation Sans" w:eastAsia="Times New Roman" w:cs="Liberation Sans"/>
      <w:color w:val="000000"/>
      <w:sz w:val="24"/>
      <w:szCs w:val="24"/>
      <w:lang w:eastAsia="ru-RU"/>
    </w:rPr>
  </w:style>
  <w:style w:type="paragraph" w:styleId="Frgutexttitle" w:customStyle="1">
    <w:name w:val="frgu-text-title"/>
    <w:basedOn w:val="Normal"/>
    <w:qFormat/>
    <w:rsid w:val="00762a9b"/>
    <w:pPr>
      <w:spacing w:lineRule="auto" w:line="240" w:beforeAutospacing="1" w:afterAutospacing="1"/>
    </w:pPr>
    <w:rPr>
      <w:rFonts w:ascii="Times New Roman" w:hAnsi="Times New Roman" w:eastAsia="Times New Roman" w:cs="Times New Roman"/>
      <w:sz w:val="24"/>
      <w:szCs w:val="24"/>
      <w:lang w:eastAsia="ru-RU"/>
    </w:rPr>
  </w:style>
  <w:style w:type="paragraph" w:styleId="Ngbinding" w:customStyle="1">
    <w:name w:val="ng-binding"/>
    <w:basedOn w:val="Normal"/>
    <w:qFormat/>
    <w:rsid w:val="00762a9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urgan-city.ru/about/form/883758/"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LibreOffice/7.0.0.3$Windows_X86_64 LibreOffice_project/8061b3e9204bef6b321a21033174034a5e2ea88e</Application>
  <Pages>4</Pages>
  <Words>840</Words>
  <Characters>6354</Characters>
  <CharactersWithSpaces>7160</CharactersWithSpaces>
  <Paragraphs>36</Paragraph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2022-09-28T16:47:00Z</dcterms:created>
  <dc:creator>Надежда Николаевна Плотникова</dc:creator>
  <dc:description/>
  <dc:language>ru-RU</dc:language>
  <cp:lastModifiedBy/>
  <cp:lastPrinted>2018-08-08T10:10:00Z</cp:lastPrinted>
  <dcterms:modified xsi:type="dcterms:W3CDTF">2022-09-29T10:15:37Z</dcterms:modified>
  <cp:revision>11</cp:revision>
  <dc:subject/>
  <dc:title>Постановление Администрации города Кургана от 28.04.2016 N 2740(ред. от 28.12.2019)"Об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средства"(вместе с "Блок-схемой предоставления муниципальной услуги "Выдача специального разрешения на движение по автомобильным дорогам тяжеловесног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4022.00.09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