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16" w:type="dxa"/>
        <w:jc w:val="left"/>
        <w:tblInd w:w="-118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700"/>
        <w:gridCol w:w="12915"/>
      </w:tblGrid>
      <w:tr>
        <w:trPr/>
        <w:tc>
          <w:tcPr>
            <w:tcW w:w="27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291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Выдача и регистрация персональных бесконтактных микропроцессорных пластиковых карт для предоставления права льготного проезда на муниципальных маршрутах регулярных перевозок на территории города Кургана</w:t>
            </w:r>
          </w:p>
        </w:tc>
      </w:tr>
      <w:tr>
        <w:trPr/>
        <w:tc>
          <w:tcPr>
            <w:tcW w:w="27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Услуга предоставляется</w:t>
            </w:r>
          </w:p>
        </w:tc>
        <w:tc>
          <w:tcPr>
            <w:tcW w:w="1291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Администрацией города Кургана</w:t>
            </w:r>
          </w:p>
        </w:tc>
      </w:tr>
      <w:tr>
        <w:trPr>
          <w:trHeight w:val="854" w:hRule="atLeast"/>
        </w:trPr>
        <w:tc>
          <w:tcPr>
            <w:tcW w:w="27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Ответственный орган</w:t>
            </w:r>
          </w:p>
        </w:tc>
        <w:tc>
          <w:tcPr>
            <w:tcW w:w="1291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Департаментом развития городского хозяйства Администрации города Кургана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предоставлении муниципальной услуги участвует муниципальное казенное учреждение «Транспортное управление»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г. Курган, ул. Химмашевская, дом 2</w:t>
            </w:r>
          </w:p>
        </w:tc>
      </w:tr>
      <w:tr>
        <w:trPr>
          <w:trHeight w:val="854" w:hRule="atLeast"/>
        </w:trPr>
        <w:tc>
          <w:tcPr>
            <w:tcW w:w="270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Отдел ответственный за предоставление услуги</w:t>
            </w:r>
          </w:p>
        </w:tc>
        <w:tc>
          <w:tcPr>
            <w:tcW w:w="12915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Сектор правового обеспечения и кадров МКУ  г. Курган, ул. Химмашевская, 2, кабинет N 2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>
              <w:rPr>
                <w:rFonts w:eastAsia="Calibri" w:cs="" w:ascii="Arial" w:hAnsi="Arial"/>
                <w:color w:val="00000A"/>
                <w:kern w:val="0"/>
                <w:sz w:val="20"/>
                <w:szCs w:val="20"/>
                <w:lang w:val="ru-RU" w:eastAsia="en-US" w:bidi="ar-SA"/>
              </w:rPr>
              <w:t>н</w:t>
            </w:r>
            <w:r>
              <w:rPr>
                <w:rFonts w:ascii="Arial" w:hAnsi="Arial"/>
                <w:sz w:val="20"/>
                <w:szCs w:val="20"/>
              </w:rPr>
              <w:t xml:space="preserve"> - </w:t>
            </w:r>
            <w:r>
              <w:rPr>
                <w:rFonts w:eastAsia="Calibri" w:cs="" w:ascii="Arial" w:hAnsi="Arial"/>
                <w:color w:val="00000A"/>
                <w:kern w:val="0"/>
                <w:sz w:val="20"/>
                <w:szCs w:val="20"/>
                <w:lang w:val="ru-RU" w:eastAsia="en-US" w:bidi="ar-SA"/>
              </w:rPr>
              <w:t>Чт</w:t>
            </w:r>
            <w:r>
              <w:rPr>
                <w:rFonts w:ascii="Arial" w:hAnsi="Arial"/>
                <w:sz w:val="20"/>
                <w:szCs w:val="20"/>
              </w:rPr>
              <w:t xml:space="preserve"> с 8-00 ч. до 17-00 ч., </w:t>
            </w:r>
            <w:r>
              <w:rPr>
                <w:rFonts w:eastAsia="Calibri" w:cs="" w:ascii="Arial" w:hAnsi="Arial"/>
                <w:color w:val="00000A"/>
                <w:kern w:val="0"/>
                <w:sz w:val="20"/>
                <w:szCs w:val="20"/>
                <w:lang w:val="ru-RU" w:eastAsia="en-US" w:bidi="ar-SA"/>
              </w:rPr>
              <w:t>Пт</w:t>
            </w:r>
            <w:r>
              <w:rPr>
                <w:rFonts w:ascii="Arial" w:hAnsi="Arial"/>
                <w:sz w:val="20"/>
                <w:szCs w:val="20"/>
              </w:rPr>
              <w:t>– с 8-00ч. до 16-00 ч., обед с 12-30 ч. до 13-18 ч.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- 42-80-23 (сектор правового обеспечения и кадров МКУ</w:t>
            </w:r>
          </w:p>
        </w:tc>
      </w:tr>
      <w:tr>
        <w:trPr/>
        <w:tc>
          <w:tcPr>
            <w:tcW w:w="27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1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граждане, достигшие возраста: женщины – 55 лет, мужчины – 60 лет, место жительства которых расположено на территории города Кургана;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лица, имеющие право бесплатного проезда на муниципальных маршрутах регулярных перевозок на основании именного бесплатного проездного билета в соответствии с решением Курганской городской Думы: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ветеран</w:t>
            </w:r>
            <w:r>
              <w:rPr>
                <w:rFonts w:eastAsia="Times New Roman" w:cs="Calibri" w:ascii="Arial" w:hAnsi="Arial"/>
                <w:color w:val="00000A"/>
                <w:kern w:val="0"/>
                <w:sz w:val="20"/>
                <w:szCs w:val="20"/>
                <w:lang w:val="ru-RU" w:eastAsia="ru-RU" w:bidi="ar-SA"/>
              </w:rPr>
              <w:t>ы</w:t>
            </w:r>
            <w:r>
              <w:rPr>
                <w:rFonts w:ascii="Arial" w:hAnsi="Arial"/>
                <w:sz w:val="20"/>
                <w:szCs w:val="20"/>
              </w:rPr>
              <w:t xml:space="preserve"> Великой Отечественной войны;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инвалид</w:t>
            </w:r>
            <w:r>
              <w:rPr>
                <w:rFonts w:eastAsia="Times New Roman" w:cs="Calibri" w:ascii="Arial" w:hAnsi="Arial"/>
                <w:color w:val="00000A"/>
                <w:kern w:val="0"/>
                <w:sz w:val="20"/>
                <w:szCs w:val="20"/>
                <w:lang w:val="ru-RU" w:eastAsia="ru-RU" w:bidi="ar-SA"/>
              </w:rPr>
              <w:t>ы</w:t>
            </w:r>
            <w:r>
              <w:rPr>
                <w:rFonts w:ascii="Arial" w:hAnsi="Arial"/>
                <w:sz w:val="20"/>
                <w:szCs w:val="20"/>
              </w:rPr>
              <w:t xml:space="preserve"> Великой Отечественной войны и инвалид</w:t>
            </w:r>
            <w:r>
              <w:rPr>
                <w:rFonts w:eastAsia="Times New Roman" w:cs="Calibri" w:ascii="Arial" w:hAnsi="Arial"/>
                <w:color w:val="00000A"/>
                <w:kern w:val="0"/>
                <w:sz w:val="20"/>
                <w:szCs w:val="20"/>
                <w:lang w:val="ru-RU" w:eastAsia="ru-RU" w:bidi="ar-SA"/>
              </w:rPr>
              <w:t>ы</w:t>
            </w:r>
            <w:r>
              <w:rPr>
                <w:rFonts w:ascii="Arial" w:hAnsi="Arial"/>
                <w:sz w:val="20"/>
                <w:szCs w:val="20"/>
              </w:rPr>
              <w:t xml:space="preserve"> боевых действий;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бывши</w:t>
            </w:r>
            <w:r>
              <w:rPr>
                <w:rFonts w:eastAsia="Times New Roman" w:cs="Calibri" w:ascii="Arial" w:hAnsi="Arial"/>
                <w:color w:val="00000A"/>
                <w:kern w:val="0"/>
                <w:sz w:val="20"/>
                <w:szCs w:val="20"/>
                <w:lang w:val="ru-RU" w:eastAsia="ru-RU" w:bidi="ar-SA"/>
              </w:rPr>
              <w:t>е</w:t>
            </w:r>
            <w:r>
              <w:rPr>
                <w:rFonts w:ascii="Arial" w:hAnsi="Arial"/>
                <w:sz w:val="20"/>
                <w:szCs w:val="20"/>
              </w:rPr>
              <w:t xml:space="preserve"> несовершеннолетни</w:t>
            </w:r>
            <w:r>
              <w:rPr>
                <w:rFonts w:eastAsia="Times New Roman" w:cs="Calibri" w:ascii="Arial" w:hAnsi="Arial"/>
                <w:color w:val="00000A"/>
                <w:kern w:val="0"/>
                <w:sz w:val="20"/>
                <w:szCs w:val="20"/>
                <w:lang w:val="ru-RU" w:eastAsia="ru-RU" w:bidi="ar-SA"/>
              </w:rPr>
              <w:t>е</w:t>
            </w:r>
            <w:r>
              <w:rPr>
                <w:rFonts w:ascii="Arial" w:hAnsi="Arial"/>
                <w:sz w:val="20"/>
                <w:szCs w:val="20"/>
              </w:rPr>
              <w:t xml:space="preserve"> узник</w:t>
            </w:r>
            <w:r>
              <w:rPr>
                <w:rFonts w:eastAsia="Times New Roman" w:cs="Calibri" w:ascii="Arial" w:hAnsi="Arial"/>
                <w:color w:val="00000A"/>
                <w:kern w:val="0"/>
                <w:sz w:val="20"/>
                <w:szCs w:val="20"/>
                <w:lang w:val="ru-RU" w:eastAsia="ru-RU" w:bidi="ar-SA"/>
              </w:rPr>
              <w:t>и</w:t>
            </w:r>
            <w:r>
              <w:rPr>
                <w:rFonts w:ascii="Arial" w:hAnsi="Arial"/>
                <w:sz w:val="20"/>
                <w:szCs w:val="20"/>
              </w:rPr>
              <w:t xml:space="preserve"> концлагерей, гетто, других мест принудительного содержания, созданных фашистами и их союзниками в период Второй мировой войны, признанны</w:t>
            </w:r>
            <w:r>
              <w:rPr>
                <w:rFonts w:eastAsia="Times New Roman" w:cs="Calibri" w:ascii="Arial" w:hAnsi="Arial"/>
                <w:color w:val="00000A"/>
                <w:kern w:val="0"/>
                <w:sz w:val="20"/>
                <w:szCs w:val="20"/>
                <w:lang w:val="ru-RU" w:eastAsia="ru-RU" w:bidi="ar-SA"/>
              </w:rPr>
              <w:t>е</w:t>
            </w:r>
            <w:r>
              <w:rPr>
                <w:rFonts w:ascii="Arial" w:hAnsi="Arial"/>
                <w:sz w:val="20"/>
                <w:szCs w:val="20"/>
              </w:rPr>
              <w:t xml:space="preserve">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bidi w:val="0"/>
              <w:spacing w:lineRule="auto" w:line="240" w:before="0" w:after="0"/>
              <w:ind w:left="0" w:right="0" w:firstLine="340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почетны</w:t>
            </w:r>
            <w:r>
              <w:rPr>
                <w:rFonts w:eastAsia="Calibri" w:cs="" w:ascii="Arial" w:hAnsi="Arial"/>
                <w:color w:val="00000A"/>
                <w:kern w:val="0"/>
                <w:sz w:val="20"/>
                <w:szCs w:val="20"/>
                <w:lang w:val="ru-RU" w:eastAsia="en-US" w:bidi="ar-SA"/>
              </w:rPr>
              <w:t>е</w:t>
            </w:r>
            <w:r>
              <w:rPr>
                <w:rFonts w:ascii="Arial" w:hAnsi="Arial"/>
                <w:sz w:val="20"/>
                <w:szCs w:val="20"/>
              </w:rPr>
              <w:t xml:space="preserve"> граждан</w:t>
            </w:r>
            <w:r>
              <w:rPr>
                <w:rFonts w:eastAsia="Calibri" w:cs="" w:ascii="Arial" w:hAnsi="Arial"/>
                <w:color w:val="00000A"/>
                <w:kern w:val="0"/>
                <w:sz w:val="20"/>
                <w:szCs w:val="20"/>
                <w:lang w:val="ru-RU" w:eastAsia="en-US" w:bidi="ar-SA"/>
              </w:rPr>
              <w:t>е</w:t>
            </w:r>
            <w:r>
              <w:rPr>
                <w:rFonts w:ascii="Arial" w:hAnsi="Arial"/>
                <w:sz w:val="20"/>
                <w:szCs w:val="20"/>
              </w:rPr>
              <w:t xml:space="preserve"> города Кургана.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shd w:fill="FFFF00" w:val="clear"/>
              </w:rPr>
            </w:pPr>
            <w:r>
              <w:rPr>
                <w:rFonts w:ascii="Arial" w:hAnsi="Arial"/>
                <w:sz w:val="20"/>
                <w:szCs w:val="20"/>
                <w:shd w:fill="FFFF00" w:val="clear"/>
              </w:rPr>
              <w:t>Данная категория обращается в Транспортное управление: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</w:t>
            </w:r>
            <w:r>
              <w:rPr>
                <w:rFonts w:ascii="Arial" w:hAnsi="Arial"/>
                <w:sz w:val="20"/>
                <w:szCs w:val="20"/>
              </w:rPr>
              <w:t>п. 9 И</w:t>
            </w:r>
            <w:r>
              <w:rPr>
                <w:sz w:val="20"/>
              </w:rPr>
              <w:t>нвалиды по зрению 1-й группы, место жительства которых расположено на территории города Кургана, из расчета 60 льготных поездок в месяц с 1 января по 31 декабря 2026 года.</w:t>
            </w:r>
          </w:p>
        </w:tc>
      </w:tr>
      <w:tr>
        <w:trPr/>
        <w:tc>
          <w:tcPr>
            <w:tcW w:w="27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1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Льготная поездка - проезд на муниципальных маршрутах регулярных перевозок со скидкой в размере четырех рублей от установленного в соответствии с действующим законодательством Российской Федерации тарифа на проезд.</w:t>
            </w:r>
          </w:p>
          <w:p>
            <w:pPr>
              <w:pStyle w:val="ConsPlus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sPlus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а) Н</w:t>
            </w:r>
            <w:r>
              <w:rPr>
                <w:rFonts w:ascii="Arial" w:hAnsi="Arial"/>
                <w:b/>
                <w:bCs/>
                <w:color w:val="000000"/>
                <w:sz w:val="21"/>
                <w:szCs w:val="21"/>
              </w:rPr>
              <w:t>а выдачу социальной транспортной карты (регистрации банковской карты платежной системы МИР, используемой в качестве социальной транспортной карты)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color w:val="000000"/>
                <w:sz w:val="21"/>
                <w:szCs w:val="21"/>
              </w:rPr>
            </w:pPr>
            <w:r>
              <w:rPr>
                <w:rFonts w:ascii="Arial" w:hAnsi="Arial"/>
                <w:color w:val="000000"/>
                <w:sz w:val="21"/>
                <w:szCs w:val="21"/>
              </w:rPr>
            </w:r>
          </w:p>
          <w:p>
            <w:pPr>
              <w:pStyle w:val="ConsPlusNormal"/>
              <w:widowControl w:val="false"/>
              <w:jc w:val="both"/>
              <w:rPr/>
            </w:pPr>
            <w:r>
              <w:rPr>
                <w:rFonts w:ascii="Arial" w:hAnsi="Arial"/>
                <w:color w:val="auto"/>
                <w:sz w:val="21"/>
                <w:szCs w:val="21"/>
              </w:rPr>
              <w:t xml:space="preserve">1) </w:t>
            </w:r>
            <w:hyperlink r:id="rId2">
              <w:r>
                <w:rPr>
                  <w:rFonts w:ascii="Arial" w:hAnsi="Arial"/>
                  <w:color w:val="auto"/>
                  <w:sz w:val="21"/>
                  <w:szCs w:val="21"/>
                </w:rPr>
                <w:t>заявление</w:t>
              </w:r>
            </w:hyperlink>
            <w:r>
              <w:rPr>
                <w:rFonts w:ascii="Arial" w:hAnsi="Arial"/>
                <w:color w:val="auto"/>
                <w:sz w:val="21"/>
                <w:szCs w:val="21"/>
              </w:rPr>
              <w:t xml:space="preserve"> на выдачу социальной транспортной карты (регистрации банковской карты платежной системы МИР, используемой в качестве социальной транспортной карты);</w:t>
            </w:r>
          </w:p>
          <w:p>
            <w:pPr>
              <w:pStyle w:val="ConsPlusNormal"/>
              <w:widowControl w:val="false"/>
              <w:jc w:val="both"/>
              <w:rPr/>
            </w:pPr>
            <w:r>
              <w:rPr>
                <w:rFonts w:ascii="Arial" w:hAnsi="Arial"/>
                <w:sz w:val="21"/>
                <w:szCs w:val="21"/>
              </w:rPr>
              <w:t>2) документ, удостоверяющий личность заявителя;</w:t>
            </w:r>
          </w:p>
          <w:p>
            <w:pPr>
              <w:pStyle w:val="ConsPlusNormal"/>
              <w:widowControl w:val="false"/>
              <w:jc w:val="both"/>
              <w:rPr/>
            </w:pPr>
            <w:r>
              <w:rPr>
                <w:rFonts w:ascii="Arial" w:hAnsi="Arial"/>
                <w:sz w:val="21"/>
                <w:szCs w:val="21"/>
              </w:rPr>
              <w:t>3) документ, подтверждающий полномочия представителя заявителя, - в случае обращения представителя заявителя, которыми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заявителей;</w:t>
            </w:r>
          </w:p>
          <w:p>
            <w:pPr>
              <w:pStyle w:val="ConsPlusNormal"/>
              <w:widowControl w:val="false"/>
              <w:jc w:val="both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4) документ, подтверждающий наличие постоянной регистрации на территории города Кургана (в случае отсутствия соответствующей информации в документе, удостоверяющем личность) </w:t>
            </w:r>
            <w:r>
              <w:rPr>
                <w:rFonts w:ascii="Arial" w:hAnsi="Arial"/>
                <w:sz w:val="21"/>
                <w:szCs w:val="21"/>
                <w:shd w:fill="FFFF00" w:val="clear"/>
              </w:rPr>
              <w:t xml:space="preserve">— </w:t>
            </w:r>
            <w:r>
              <w:rPr>
                <w:rFonts w:ascii="Arial" w:hAnsi="Arial"/>
                <w:sz w:val="21"/>
                <w:szCs w:val="21"/>
                <w:shd w:fill="FFFF00" w:val="clear"/>
              </w:rPr>
              <w:t>для заявителей указанных в пункте  1 графы заявители</w:t>
            </w:r>
            <w:r>
              <w:rPr>
                <w:rFonts w:ascii="Arial" w:hAnsi="Arial"/>
                <w:sz w:val="21"/>
                <w:szCs w:val="21"/>
                <w:shd w:fill="FFFF00" w:val="clear"/>
              </w:rPr>
              <w:t>;</w:t>
            </w:r>
          </w:p>
          <w:p>
            <w:pPr>
              <w:pStyle w:val="ConsPlusNormal"/>
              <w:widowControl w:val="false"/>
              <w:jc w:val="both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5) страховой номер индивидуального лицевого счёта в системе обязательного пенсионного страхования заявителя (СНИЛС); </w:t>
              <w:br/>
              <w:t xml:space="preserve">6) бесконтактная банковская карта платежной системы МИР </w:t>
            </w:r>
            <w:r>
              <w:rPr>
                <w:rFonts w:ascii="Arial" w:hAnsi="Arial"/>
                <w:color w:val="C9211E"/>
                <w:sz w:val="21"/>
                <w:szCs w:val="21"/>
              </w:rPr>
              <w:t xml:space="preserve">(имеющая актуальный срок действия) </w:t>
            </w:r>
            <w:r>
              <w:rPr>
                <w:rFonts w:ascii="Arial" w:hAnsi="Arial"/>
                <w:sz w:val="21"/>
                <w:szCs w:val="21"/>
              </w:rPr>
              <w:t>(в случае принятия решения заявителем об ее использовании в качестве персональной бесконтактной микропроцессорной пластиковой карты для осуществления льготного проезда) – предъявляется для просмотра и регистрации.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ConsPlusNormal"/>
              <w:widowControl w:val="false"/>
              <w:jc w:val="both"/>
              <w:rPr>
                <w:b/>
                <w:b/>
                <w:bCs/>
                <w:color w:val="auto"/>
              </w:rPr>
            </w:pPr>
            <w:r>
              <w:rPr>
                <w:rFonts w:ascii="Arial" w:hAnsi="Arial"/>
                <w:b/>
                <w:bCs/>
                <w:color w:val="auto"/>
                <w:sz w:val="21"/>
                <w:szCs w:val="21"/>
              </w:rPr>
              <w:t>б) на выдачу транспортной карты «Именной бесплатный проездной билет»</w:t>
            </w:r>
          </w:p>
          <w:p>
            <w:pPr>
              <w:pStyle w:val="ConsPlusNormal"/>
              <w:widowControl w:val="false"/>
              <w:jc w:val="both"/>
              <w:rPr/>
            </w:pPr>
            <w:r>
              <w:rPr>
                <w:rFonts w:ascii="Arial" w:hAnsi="Arial"/>
                <w:sz w:val="21"/>
                <w:szCs w:val="21"/>
              </w:rPr>
              <w:t>1) заявление на выдачу транспортной карты «Именной бесплатный проездной билет»</w:t>
            </w:r>
          </w:p>
          <w:p>
            <w:pPr>
              <w:pStyle w:val="ConsPlusNormal"/>
              <w:widowControl w:val="false"/>
              <w:jc w:val="both"/>
              <w:rPr/>
            </w:pPr>
            <w:r>
              <w:rPr>
                <w:rFonts w:ascii="Arial" w:hAnsi="Arial"/>
                <w:sz w:val="21"/>
                <w:szCs w:val="21"/>
              </w:rPr>
              <w:t>2) документ, удостоверяющий личность заявителя;</w:t>
            </w:r>
          </w:p>
          <w:p>
            <w:pPr>
              <w:pStyle w:val="ConsPlusNormal"/>
              <w:widowControl w:val="false"/>
              <w:jc w:val="both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3) документ, подтверждающий статус, дающий право бесплатного проезда на муниципальных маршрутах регулярных перевозок на основании именного бесплатного проездного билета в соответствии с решением Курганской городской Думы или сведения, предоставленные с использованием многофункционального сервиса обмена информацией, созданного в соответствии с </w:t>
            </w:r>
            <w:hyperlink r:id="rId3">
              <w:r>
                <w:rPr>
                  <w:rFonts w:ascii="Arial" w:hAnsi="Arial"/>
                  <w:color w:val="0000FF"/>
                  <w:sz w:val="21"/>
                  <w:szCs w:val="21"/>
                </w:rPr>
                <w:t>частью 1 статьи 1</w:t>
              </w:r>
            </w:hyperlink>
            <w:r>
              <w:rPr>
                <w:rFonts w:ascii="Arial" w:hAnsi="Arial"/>
                <w:sz w:val="21"/>
                <w:szCs w:val="21"/>
              </w:rPr>
              <w:t xml:space="preserve"> Федерального закона от 24.06.2025 N 156-ФЗ, содержащиеся в соответствующих документах. Не допускается требовать представление документа, подтверждающего статус лица, если сведения из такого документа предоставлены с использованием многофункционального сервиса обмена информацией;</w:t>
            </w:r>
          </w:p>
          <w:p>
            <w:pPr>
              <w:pStyle w:val="ConsPlusNormal"/>
              <w:widowControl w:val="false"/>
              <w:jc w:val="both"/>
              <w:rPr/>
            </w:pPr>
            <w:r>
              <w:rPr>
                <w:rFonts w:ascii="Arial" w:hAnsi="Arial"/>
                <w:sz w:val="21"/>
                <w:szCs w:val="21"/>
              </w:rPr>
              <w:t>4)  документ, подтверждающий полномочия представителя заявителя, - в случае обращения представителя заявителя, которыми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заявителей;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5) </w:t>
            </w:r>
            <w:r>
              <w:rPr>
                <w:rFonts w:cs="Arial" w:ascii="Arial" w:hAnsi="Arial"/>
                <w:sz w:val="20"/>
                <w:szCs w:val="20"/>
              </w:rPr>
              <w:t>страховой номер индивидуального лицевого счёта в системе обязательного пенсионного страхования заявителя (СНИЛС)</w:t>
            </w:r>
          </w:p>
        </w:tc>
      </w:tr>
      <w:tr>
        <w:trPr/>
        <w:tc>
          <w:tcPr>
            <w:tcW w:w="27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1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Результатом предоставления муниципальной услуги является</w:t>
            </w:r>
          </w:p>
          <w:p>
            <w:pPr>
              <w:pStyle w:val="ConsPlus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before="0" w:after="0"/>
              <w:ind w:left="0" w:right="0" w:firstLine="34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выдача социальной транспортной карты(СТК)</w:t>
            </w:r>
          </w:p>
          <w:p>
            <w:pPr>
              <w:pStyle w:val="NormalWeb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before="0" w:after="0"/>
              <w:ind w:left="0" w:right="0" w:firstLine="34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>выдача транспортной карты «Именной бесплатный проездной билет» (ИБПБ)</w:t>
            </w:r>
          </w:p>
          <w:p>
            <w:pPr>
              <w:pStyle w:val="ConsPlus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before="0" w:after="0"/>
              <w:ind w:left="0" w:right="0" w:firstLine="34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регистрация бесконтактной банковской карты платежной системы МИР в реестре социальных транспортных карт (РСТК)</w:t>
            </w:r>
          </w:p>
          <w:p>
            <w:pPr>
              <w:pStyle w:val="ConsPlus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before="0" w:after="0"/>
              <w:ind w:left="0" w:right="0" w:firstLine="34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изменение учетных данных ранее зарегистрированной карты МИР в РСТК</w:t>
            </w:r>
          </w:p>
          <w:p>
            <w:pPr>
              <w:pStyle w:val="ConsPlusNormal"/>
              <w:widowControl w:val="false"/>
              <w:numPr>
                <w:ilvl w:val="0"/>
                <w:numId w:val="1"/>
              </w:numPr>
              <w:suppressAutoHyphens w:val="true"/>
              <w:bidi w:val="0"/>
              <w:spacing w:before="0" w:after="0"/>
              <w:ind w:left="0" w:right="0" w:firstLine="34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отказ в предоставлении муниципальной услуги.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Результат хранится в МФЦ 30 дней, невостребованные карты направляются в Транспортное управление (Химмашевская, 2). Невостребованные карты заявитель получает в Транспортном управлении.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В случае если у заявителя карта сломалась, потерялась и т.п. – за перевыпуском карты заявитель обращается в Элькарт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sz w:val="21"/>
                <w:szCs w:val="21"/>
              </w:rPr>
              <w:t>(Пр-кт Машиностроителей, 36, офис 308.  Тел. 42-88-52.</w:t>
            </w:r>
            <w:bookmarkStart w:id="0" w:name="_GoBack"/>
            <w:bookmarkEnd w:id="0"/>
            <w:r>
              <w:rPr>
                <w:rFonts w:cs="Arial" w:ascii="Arial" w:hAnsi="Arial"/>
                <w:sz w:val="21"/>
                <w:szCs w:val="21"/>
              </w:rPr>
              <w:t>)</w:t>
            </w:r>
          </w:p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7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1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 </w:t>
            </w:r>
            <w:r>
              <w:rPr>
                <w:rFonts w:ascii="Arial" w:hAnsi="Arial"/>
                <w:sz w:val="21"/>
                <w:szCs w:val="21"/>
              </w:rPr>
              <w:t>Не более 30 календарных дней</w:t>
            </w:r>
          </w:p>
        </w:tc>
      </w:tr>
      <w:tr>
        <w:trPr/>
        <w:tc>
          <w:tcPr>
            <w:tcW w:w="27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1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1"/>
                <w:szCs w:val="21"/>
                <w:shd w:fill="auto" w:val="clear"/>
              </w:rPr>
            </w:pPr>
            <w:r>
              <w:rPr>
                <w:rFonts w:ascii="Arial" w:hAnsi="Arial"/>
                <w:sz w:val="21"/>
                <w:szCs w:val="21"/>
                <w:shd w:fill="auto" w:val="clear"/>
              </w:rPr>
              <w:t>Оснований для отказа в приеме документов, необходимых для предоставления муниципальной услуги, не имеется.</w:t>
            </w:r>
          </w:p>
        </w:tc>
      </w:tr>
      <w:tr>
        <w:trPr>
          <w:trHeight w:val="411" w:hRule="atLeast"/>
        </w:trPr>
        <w:tc>
          <w:tcPr>
            <w:tcW w:w="27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1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Плата за предоставление муниципальной услуги не взимается.</w:t>
            </w:r>
          </w:p>
        </w:tc>
      </w:tr>
      <w:tr>
        <w:trPr/>
        <w:tc>
          <w:tcPr>
            <w:tcW w:w="27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1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ConsPlusNormal"/>
              <w:widowControl w:val="false"/>
              <w:jc w:val="both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270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2915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Постановление Администрации города Кургана от 15.10.2020 г. № 6293 Об утверждении Административного регламента предоставления Департаментом развития городского хозяйства Администрации города Кургана муниципальной услуги «Выдача и регистрация персональных </w:t>
            </w:r>
            <w:r>
              <w:rPr>
                <w:rFonts w:ascii="Arial" w:hAnsi="Arial"/>
                <w:color w:val="auto"/>
                <w:sz w:val="20"/>
                <w:szCs w:val="20"/>
              </w:rPr>
              <w:t>бесконтактных микропроцессорных пластиковых карт для предоставления права льготного проезда на муниципальных маршрутах регуля</w:t>
            </w:r>
            <w:r>
              <w:rPr>
                <w:rFonts w:ascii="Arial" w:hAnsi="Arial"/>
                <w:color w:val="000000"/>
                <w:sz w:val="20"/>
                <w:szCs w:val="20"/>
                <w:shd w:fill="auto" w:val="clear"/>
              </w:rPr>
              <w:t xml:space="preserve">рных перевозок на территории города Кургана» (в ред. Постановлений Администрации города Кургана от 29.04.21 №2952, 06.03.2023 №1509,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0"/>
                <w:u w:val="none"/>
                <w:shd w:fill="auto" w:val="clear"/>
              </w:rPr>
              <w:t xml:space="preserve">от 16.12.2025 N 13461,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20"/>
                <w:szCs w:val="20"/>
                <w:u w:val="none"/>
                <w:shd w:fill="auto" w:val="clear"/>
              </w:rPr>
              <w:t>от 17.02.2026 №1624</w:t>
            </w:r>
            <w:r>
              <w:rPr>
                <w:rFonts w:ascii="Arial" w:hAnsi="Arial"/>
                <w:color w:val="000000"/>
                <w:sz w:val="20"/>
                <w:szCs w:val="20"/>
                <w:shd w:fill="auto" w:val="clear"/>
              </w:rPr>
              <w:t>)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 </w:t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2f62a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c0105"/>
    <w:rPr>
      <w:b/>
      <w:bCs/>
    </w:rPr>
  </w:style>
  <w:style w:type="character" w:styleId="S5" w:customStyle="1">
    <w:name w:val="s5"/>
    <w:basedOn w:val="DefaultParagraphFont"/>
    <w:qFormat/>
    <w:rsid w:val="001f34a6"/>
    <w:rPr/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4c0105"/>
    <w:pPr>
      <w:spacing w:lineRule="auto" w:line="240" w:beforeAutospacing="1" w:after="119"/>
    </w:pPr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paragraph" w:styleId="NoSpacing">
    <w:name w:val="No Spacing"/>
    <w:uiPriority w:val="1"/>
    <w:qFormat/>
    <w:rsid w:val="00af24a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Calibri" w:cs="Times New Roman" w:eastAsiaTheme="minorHAnsi"/>
      <w:color w:val="auto"/>
      <w:kern w:val="0"/>
      <w:sz w:val="20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urgan-city.ru/about/form/1110535/" TargetMode="External"/><Relationship Id="rId3" Type="http://schemas.openxmlformats.org/officeDocument/2006/relationships/hyperlink" Target="https://login.consultant.ru/link/?req=doc&amp;base=LAW&amp;n=508287&amp;dst=100009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Application>LibreOffice/7.0.4.2$Windows_X86_64 LibreOffice_project/dcf040e67528d9187c66b2379df5ea4407429775</Application>
  <AppVersion>15.0000</AppVersion>
  <Pages>3</Pages>
  <Words>785</Words>
  <Characters>5690</Characters>
  <CharactersWithSpaces>6432</CharactersWithSpaces>
  <Paragraphs>55</Paragraphs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2026-01-12T10:45:00Z</dcterms:created>
  <dc:creator>Кондакова Наталия Петровна</dc:creator>
  <dc:description/>
  <dc:language>ru-RU</dc:language>
  <cp:lastModifiedBy/>
  <cp:lastPrinted>2018-08-08T10:10:00Z</cp:lastPrinted>
  <dcterms:modified xsi:type="dcterms:W3CDTF">2026-03-10T10:39:43Z</dcterms:modified>
  <cp:revision>81</cp:revision>
  <dc:subject/>
  <dc:title>Постановление Администрации города Кургана от 15.10.2020 N 6293(ред. от 16.12.2025)"Об утверждении Административного регламента предоставления Департаментом развития городского хозяйства Администрации города Кургана муниципальной услуги "Выдача и регистрация персональных бесконтактных микропроцессорных пластиковых карт для предоставления права льготного проезда на муниципальных маршрутах регулярных перевозок на территории города Кургана"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