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458"/>
        <w:gridCol w:w="12904"/>
      </w:tblGrid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b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Наименование услуги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ind w:hanging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shd w:fill="FFFFFF" w:val="clear"/>
                <w:lang w:eastAsia="ru-RU"/>
              </w:rPr>
              <w:t>Выдача и регистрация персональных бесконтактных микропроцессорных пластиковых карт для предоставления права льготного проезда на муниципальных маршрутах регулярных перевозок на территории города Кургана</w:t>
            </w:r>
          </w:p>
        </w:tc>
      </w:tr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1"/>
                <w:szCs w:val="21"/>
                <w:lang w:eastAsia="ru-RU"/>
              </w:rPr>
              <w:t>Администрация г. Кургана (Департамент развития городского хозяйства).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1"/>
                <w:szCs w:val="21"/>
                <w:lang w:eastAsia="ru-RU"/>
              </w:rPr>
              <w:t>В предоставлении муниципальной услуги участвует муниципальное казенное учреждение «Транспортное управление»</w:t>
            </w:r>
          </w:p>
          <w:p>
            <w:pPr>
              <w:pStyle w:val="ConsPlusNormal"/>
              <w:widowControl w:val="false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sz w:val="21"/>
                <w:szCs w:val="21"/>
              </w:rPr>
              <w:t>г. Курган, ул. Химмашевская, дом 2</w:t>
            </w:r>
          </w:p>
        </w:tc>
      </w:tr>
      <w:tr>
        <w:trPr>
          <w:trHeight w:val="854" w:hRule="atLeast"/>
        </w:trPr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widowControl w:val="false"/>
              <w:spacing w:lineRule="auto" w:line="240" w:beforeAutospacing="1" w:after="198"/>
              <w:ind w:right="62" w:hanging="0"/>
              <w:rPr>
                <w:rFonts w:ascii="Arial" w:hAnsi="Arial" w:eastAsia="Times New Roman" w:cs="Arial"/>
                <w:szCs w:val="20"/>
                <w:lang w:eastAsia="ru-RU"/>
              </w:rPr>
            </w:pPr>
            <w:hyperlink r:id="rId2">
              <w:r>
                <w:rPr>
                  <w:rFonts w:eastAsia="Times New Roman" w:cs="Arial" w:ascii="Arial" w:hAnsi="Arial"/>
                  <w:color w:val="auto"/>
                  <w:sz w:val="21"/>
                  <w:szCs w:val="21"/>
                  <w:u w:val="none"/>
                  <w:lang w:eastAsia="ru-RU"/>
                </w:rPr>
                <w:t>Постановление Администрации города Кургана от 15.10.2020 г. № 6293 Об утверждении Административного регламента предоставления Департаментом развития городского хозяйства Администрации города Кургана муниципальной услуги «Выдача и регистрация персональных бесконтактных микропроцессорных пластиковых карт для предоставления права льготного проезда на муниципальных маршрутах регулярных перевозок на территории города Кургана»</w:t>
              </w:r>
            </w:hyperlink>
          </w:p>
        </w:tc>
      </w:tr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Arial" w:hAnsi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ascii="Arial" w:hAnsi="Arial"/>
                <w:b w:val="false"/>
                <w:bCs w:val="false"/>
                <w:sz w:val="21"/>
                <w:szCs w:val="21"/>
              </w:rPr>
              <w:t>Физические лица.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Arial" w:hAnsi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eastAsia="Calibri" w:cs="" w:ascii="Arial" w:hAnsi="Arial"/>
                <w:b w:val="false"/>
                <w:bCs w:val="false"/>
                <w:color w:val="00000A"/>
                <w:kern w:val="0"/>
                <w:sz w:val="21"/>
                <w:szCs w:val="21"/>
                <w:lang w:val="ru-RU" w:eastAsia="en-US" w:bidi="ar-SA"/>
              </w:rPr>
              <w:t>а)</w:t>
            </w:r>
            <w:r>
              <w:rPr>
                <w:rFonts w:ascii="Arial" w:hAnsi="Arial"/>
                <w:b w:val="false"/>
                <w:bCs w:val="false"/>
                <w:sz w:val="21"/>
                <w:szCs w:val="21"/>
              </w:rPr>
              <w:t xml:space="preserve"> Граждане, достигшие возраста: женщины - 55 лет, мужчины - 60 лет, место жительства которых расположено на территории города Кургана </w:t>
            </w:r>
            <w:r>
              <w:rPr>
                <w:rFonts w:ascii="Arial" w:hAnsi="Arial"/>
                <w:b w:val="false"/>
                <w:bCs w:val="false"/>
                <w:color w:val="C9211E"/>
                <w:sz w:val="21"/>
                <w:szCs w:val="21"/>
              </w:rPr>
              <w:t>(</w:t>
            </w:r>
            <w:r>
              <w:rPr>
                <w:color w:val="C9211E"/>
              </w:rPr>
              <w:t>на выдачу социальной транспортной карты (регистрации банковской карты платежной системы МИР, используемой в качестве социальной транспортной карты)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/>
            </w:pPr>
            <w:r>
              <w:rPr>
                <w:rFonts w:eastAsia="Calibri" w:cs="" w:ascii="Arial" w:hAnsi="Arial"/>
                <w:color w:val="000000"/>
                <w:kern w:val="0"/>
                <w:sz w:val="22"/>
                <w:szCs w:val="22"/>
                <w:lang w:val="ru-RU" w:eastAsia="en-US" w:bidi="ar-SA"/>
              </w:rPr>
              <w:t>б)</w:t>
            </w:r>
            <w:r>
              <w:rPr>
                <w:rFonts w:ascii="Arial" w:hAnsi="Arial"/>
                <w:color w:val="000000"/>
              </w:rPr>
              <w:t xml:space="preserve"> Л</w:t>
            </w:r>
            <w:r>
              <w:rPr>
                <w:rFonts w:ascii="Arial" w:hAnsi="Arial"/>
              </w:rPr>
              <w:t xml:space="preserve">ица, имеющие право бесплатного проезда на муниципальных маршрутах регулярных перевозок на основании именного бесплатного проездного билета в соответствии с решением Курганской городской Думы. </w:t>
            </w:r>
            <w:r>
              <w:rPr>
                <w:color w:val="FF3838"/>
              </w:rPr>
              <w:t xml:space="preserve">(на выдачу транспортной карты «Именной бесплатный проездной билет» </w:t>
            </w:r>
            <w:r>
              <w:rPr/>
              <w:t>):</w:t>
            </w:r>
          </w:p>
          <w:p>
            <w:pPr>
              <w:pStyle w:val="ConsPlusNormal"/>
              <w:widowControl w:val="false"/>
              <w:numPr>
                <w:ilvl w:val="0"/>
                <w:numId w:val="2"/>
              </w:numPr>
              <w:spacing w:lineRule="auto" w:line="240" w:before="220" w:after="0"/>
              <w:jc w:val="both"/>
              <w:rPr/>
            </w:pPr>
            <w:r>
              <w:rPr/>
              <w:t>ветеран</w:t>
            </w:r>
            <w:r>
              <w:rPr>
                <w:rFonts w:eastAsia="Times New Roman" w:cs="Calibri"/>
                <w:color w:val="00000A"/>
                <w:kern w:val="0"/>
                <w:sz w:val="22"/>
                <w:szCs w:val="20"/>
                <w:lang w:val="ru-RU" w:eastAsia="ru-RU" w:bidi="ar-SA"/>
              </w:rPr>
              <w:t>ы</w:t>
            </w:r>
            <w:r>
              <w:rPr/>
              <w:t xml:space="preserve"> Великой Отечественной войны;</w:t>
            </w:r>
          </w:p>
          <w:p>
            <w:pPr>
              <w:pStyle w:val="ConsPlusNormal"/>
              <w:widowControl w:val="false"/>
              <w:numPr>
                <w:ilvl w:val="0"/>
                <w:numId w:val="2"/>
              </w:numPr>
              <w:spacing w:lineRule="auto" w:line="240" w:before="220" w:after="0"/>
              <w:jc w:val="both"/>
              <w:rPr/>
            </w:pPr>
            <w:r>
              <w:rPr/>
              <w:t>инвалид</w:t>
            </w:r>
            <w:r>
              <w:rPr>
                <w:rFonts w:eastAsia="Times New Roman" w:cs="Calibri"/>
                <w:color w:val="00000A"/>
                <w:kern w:val="0"/>
                <w:sz w:val="22"/>
                <w:szCs w:val="20"/>
                <w:lang w:val="ru-RU" w:eastAsia="ru-RU" w:bidi="ar-SA"/>
              </w:rPr>
              <w:t>ы</w:t>
            </w:r>
            <w:r>
              <w:rPr/>
              <w:t xml:space="preserve"> Великой Отечественной войны и инвалид</w:t>
            </w:r>
            <w:r>
              <w:rPr>
                <w:rFonts w:eastAsia="Times New Roman" w:cs="Calibri"/>
                <w:color w:val="00000A"/>
                <w:kern w:val="0"/>
                <w:sz w:val="22"/>
                <w:szCs w:val="20"/>
                <w:lang w:val="ru-RU" w:eastAsia="ru-RU" w:bidi="ar-SA"/>
              </w:rPr>
              <w:t>ы</w:t>
            </w:r>
            <w:r>
              <w:rPr/>
              <w:t xml:space="preserve"> боевых действий;</w:t>
            </w:r>
          </w:p>
          <w:p>
            <w:pPr>
              <w:pStyle w:val="ConsPlusNormal"/>
              <w:widowControl w:val="false"/>
              <w:numPr>
                <w:ilvl w:val="0"/>
                <w:numId w:val="2"/>
              </w:numPr>
              <w:spacing w:lineRule="auto" w:line="240" w:before="220" w:after="0"/>
              <w:jc w:val="both"/>
              <w:rPr/>
            </w:pPr>
            <w:r>
              <w:rPr/>
              <w:t>бывши</w:t>
            </w:r>
            <w:r>
              <w:rPr>
                <w:rFonts w:eastAsia="Times New Roman" w:cs="Calibri"/>
                <w:color w:val="00000A"/>
                <w:kern w:val="0"/>
                <w:sz w:val="22"/>
                <w:szCs w:val="20"/>
                <w:lang w:val="ru-RU" w:eastAsia="ru-RU" w:bidi="ar-SA"/>
              </w:rPr>
              <w:t>е</w:t>
            </w:r>
            <w:r>
              <w:rPr/>
              <w:t xml:space="preserve"> несовершеннолетни</w:t>
            </w:r>
            <w:r>
              <w:rPr>
                <w:rFonts w:eastAsia="Times New Roman" w:cs="Calibri"/>
                <w:color w:val="00000A"/>
                <w:kern w:val="0"/>
                <w:sz w:val="22"/>
                <w:szCs w:val="20"/>
                <w:lang w:val="ru-RU" w:eastAsia="ru-RU" w:bidi="ar-SA"/>
              </w:rPr>
              <w:t>е</w:t>
            </w:r>
            <w:r>
              <w:rPr/>
              <w:t xml:space="preserve"> узник</w:t>
            </w:r>
            <w:r>
              <w:rPr>
                <w:rFonts w:eastAsia="Times New Roman" w:cs="Calibri"/>
                <w:color w:val="00000A"/>
                <w:kern w:val="0"/>
                <w:sz w:val="22"/>
                <w:szCs w:val="20"/>
                <w:lang w:val="ru-RU" w:eastAsia="ru-RU" w:bidi="ar-SA"/>
              </w:rPr>
              <w:t>и</w:t>
            </w:r>
            <w:r>
              <w:rPr/>
              <w:t xml:space="preserve"> концлагерей, гетто, других мест принудительного содержания, созданных фашистами и их союзниками в период Второй мировой войны, признанны</w:t>
            </w:r>
            <w:r>
              <w:rPr>
                <w:rFonts w:eastAsia="Times New Roman" w:cs="Calibri"/>
                <w:color w:val="00000A"/>
                <w:kern w:val="0"/>
                <w:sz w:val="22"/>
                <w:szCs w:val="20"/>
                <w:lang w:val="ru-RU" w:eastAsia="ru-RU" w:bidi="ar-SA"/>
              </w:rPr>
              <w:t>е</w:t>
            </w:r>
            <w:r>
              <w:rPr/>
              <w:t xml:space="preserve">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/>
              <w:t xml:space="preserve">            </w:t>
            </w:r>
            <w:r>
              <w:rPr/>
              <w:t>почетны</w:t>
            </w:r>
            <w:r>
              <w:rPr>
                <w:rFonts w:eastAsia="Calibri" w:cs=""/>
                <w:color w:val="00000A"/>
                <w:kern w:val="0"/>
                <w:sz w:val="22"/>
                <w:szCs w:val="22"/>
                <w:lang w:val="ru-RU" w:eastAsia="en-US" w:bidi="ar-SA"/>
              </w:rPr>
              <w:t>е</w:t>
            </w:r>
            <w:r>
              <w:rPr/>
              <w:t xml:space="preserve"> граждан</w:t>
            </w:r>
            <w:r>
              <w:rPr>
                <w:rFonts w:eastAsia="Calibri" w:cs=""/>
                <w:color w:val="00000A"/>
                <w:kern w:val="0"/>
                <w:sz w:val="22"/>
                <w:szCs w:val="22"/>
                <w:lang w:val="ru-RU" w:eastAsia="en-US" w:bidi="ar-SA"/>
              </w:rPr>
              <w:t>е</w:t>
            </w:r>
            <w:r>
              <w:rPr/>
              <w:t xml:space="preserve"> города Кургана.</w:t>
            </w:r>
          </w:p>
        </w:tc>
      </w:tr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0" w:type="dxa"/>
            </w:tcMar>
          </w:tcPr>
          <w:p>
            <w:pPr>
              <w:pStyle w:val="ConsPlusNormal"/>
              <w:widowControl w:val="false"/>
              <w:rPr/>
            </w:pPr>
            <w:r>
              <w:rPr>
                <w:rFonts w:ascii="Arial" w:hAnsi="Arial"/>
                <w:sz w:val="21"/>
                <w:szCs w:val="21"/>
              </w:rPr>
              <w:t>а) Н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а выдачу социальной транспортной карты (регистрации банковской карты платежной системы МИР, используемой в качестве социальной транспортной карты)</w:t>
            </w:r>
          </w:p>
          <w:p>
            <w:pPr>
              <w:pStyle w:val="ConsPlusNormal"/>
              <w:widowControl w:val="false"/>
              <w:rPr>
                <w:rFonts w:ascii="Arial" w:hAnsi="Arial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</w:r>
          </w:p>
          <w:p>
            <w:pPr>
              <w:pStyle w:val="ConsPlusNormal"/>
              <w:widowControl w:val="false"/>
              <w:rPr/>
            </w:pPr>
            <w:r>
              <w:rPr>
                <w:rFonts w:ascii="Arial" w:hAnsi="Arial"/>
                <w:sz w:val="21"/>
                <w:szCs w:val="21"/>
              </w:rPr>
              <w:t>1) </w:t>
            </w:r>
            <w:hyperlink r:id="rId3">
              <w:r>
                <w:rPr>
                  <w:rFonts w:ascii="Arial" w:hAnsi="Arial"/>
                  <w:sz w:val="21"/>
                  <w:szCs w:val="21"/>
                </w:rPr>
                <w:t>заявление</w:t>
              </w:r>
            </w:hyperlink>
            <w:r>
              <w:rPr>
                <w:rFonts w:ascii="Arial" w:hAnsi="Arial"/>
                <w:sz w:val="21"/>
                <w:szCs w:val="21"/>
              </w:rPr>
              <w:t> </w:t>
            </w:r>
            <w:r>
              <w:rPr>
                <w:rFonts w:ascii="Arial" w:hAnsi="Arial"/>
                <w:color w:val="FF3838"/>
                <w:sz w:val="21"/>
                <w:szCs w:val="21"/>
              </w:rPr>
              <w:t>на выдачу социальной транспортной карты (регистрации банковской карты платежной системы МИР, используемой в качестве социальной транспортной карты)</w:t>
            </w:r>
            <w:r>
              <w:rPr>
                <w:rFonts w:ascii="Arial" w:hAnsi="Arial"/>
                <w:sz w:val="21"/>
                <w:szCs w:val="21"/>
              </w:rPr>
              <w:t xml:space="preserve"> по форме, согласно постановлению Администрации города Кургана от 18.08.2020 г. № 4771 «Об организации транспортного обслуживания граждан, пользующихся правом льготного проезда на муниципальных маршрутах регулярных перевозок на территории города Кургана с использованием персональных бесконтактных микропроцессорных пластиковых карт»; </w:t>
              <w:br/>
              <w:t xml:space="preserve">2) документ, удостоверяющий личность заявителя; </w:t>
              <w:br/>
              <w:t xml:space="preserve">3) документ, подтверждающий полномочия представителя заявителя, - в случае обращения представителя заявителя, которыми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заявителей; </w:t>
              <w:br/>
              <w:t xml:space="preserve">4) документ, подтверждающий наличие постоянной регистрации на территории города Кургана (в случае отсутствия соответствующей информации в документе, удостоверяющем личность); </w:t>
              <w:br/>
              <w:t xml:space="preserve">5) страховой номер индивидуального лицевого счёта в системе обязательного пенсионного страхования заявителя (СНИЛС); </w:t>
              <w:br/>
              <w:t xml:space="preserve">6) бесконтактная банковская карта платежной системы МИР </w:t>
            </w:r>
            <w:r>
              <w:rPr>
                <w:rFonts w:ascii="Arial" w:hAnsi="Arial"/>
                <w:color w:val="C9211E"/>
                <w:sz w:val="21"/>
                <w:szCs w:val="21"/>
              </w:rPr>
              <w:t xml:space="preserve">(имеющая актуальный срок действия) </w:t>
            </w:r>
            <w:r>
              <w:rPr>
                <w:rFonts w:ascii="Arial" w:hAnsi="Arial"/>
                <w:sz w:val="21"/>
                <w:szCs w:val="21"/>
              </w:rPr>
              <w:t xml:space="preserve">(в случае принятия решения заявителем об ее использовании в качестве персональной бесконтактной микропроцессорной пластиковой карты для осуществления льготного проезда) – предъявляется для просмотра и регистрации. </w:t>
              <w:br/>
              <w:t>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заявитель, в соответствии с частью 3 статьи 7 Федерального закона от 27.07.2010г. № 210-ФЗ,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(за исключением лиц, признанных безвестно отсутствующими, и разыскиваемых лиц, место нахождения которых не установлено уполномоченным федеральным органом исполнительной власти).</w:t>
            </w:r>
          </w:p>
          <w:p>
            <w:pPr>
              <w:pStyle w:val="ConsPlusNormal"/>
              <w:widowControl w:val="false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  <w:p>
            <w:pPr>
              <w:pStyle w:val="ConsPlusNormal"/>
              <w:widowControl w:val="false"/>
              <w:rPr/>
            </w:pPr>
            <w:r>
              <w:rPr>
                <w:rFonts w:ascii="Arial" w:hAnsi="Arial"/>
                <w:color w:val="FF3838"/>
                <w:sz w:val="21"/>
                <w:szCs w:val="21"/>
              </w:rPr>
              <w:t>б) на выдачу транспортной карты «Именной бесплатный проездной билет»</w:t>
            </w:r>
          </w:p>
          <w:p>
            <w:pPr>
              <w:pStyle w:val="ConsPlusNormal"/>
              <w:widowControl w:val="false"/>
              <w:rPr/>
            </w:pPr>
            <w:r>
              <w:rPr>
                <w:rFonts w:ascii="Arial" w:hAnsi="Arial"/>
                <w:sz w:val="21"/>
                <w:szCs w:val="21"/>
              </w:rPr>
              <w:t>1) заявление на выдачу транспортной карты «Именной бесплатный проездной билет»</w:t>
            </w:r>
          </w:p>
          <w:p>
            <w:pPr>
              <w:pStyle w:val="ConsPlusNormal"/>
              <w:widowControl w:val="false"/>
              <w:rPr/>
            </w:pPr>
            <w:r>
              <w:rPr>
                <w:rFonts w:ascii="Arial" w:hAnsi="Arial"/>
                <w:sz w:val="21"/>
                <w:szCs w:val="21"/>
              </w:rPr>
              <w:t>2) документ, удостоверяющий личность заявителя;</w:t>
            </w:r>
          </w:p>
          <w:p>
            <w:pPr>
              <w:pStyle w:val="ConsPlusNormal"/>
              <w:widowControl w:val="false"/>
              <w:rPr/>
            </w:pPr>
            <w:r>
              <w:rPr>
                <w:rFonts w:ascii="Arial" w:hAnsi="Arial"/>
                <w:sz w:val="21"/>
                <w:szCs w:val="21"/>
              </w:rPr>
              <w:t>3) документ, подтверждающий статус, дающий право бесплатного проезда на муниципальных маршрутах регулярных перевозок на основании именного бесплатного проездного билета в соответствии с решением Курганской городской Думы</w:t>
            </w:r>
          </w:p>
          <w:p>
            <w:pPr>
              <w:pStyle w:val="ConsPlusNormal"/>
              <w:widowControl w:val="false"/>
              <w:rPr/>
            </w:pPr>
            <w:r>
              <w:rPr>
                <w:rFonts w:ascii="Arial" w:hAnsi="Arial"/>
                <w:sz w:val="21"/>
                <w:szCs w:val="21"/>
              </w:rPr>
              <w:t>4)  документ, подтверждающий полномочия представителя заявителя, - в случае обращения представителя заявителя, которыми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заявителей;</w:t>
            </w:r>
          </w:p>
          <w:p>
            <w:pPr>
              <w:pStyle w:val="ConsPlusNormal"/>
              <w:widowControl w:val="false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5) </w:t>
            </w:r>
            <w:r>
              <w:rPr>
                <w:rFonts w:cs="Arial" w:ascii="Arial" w:hAnsi="Arial"/>
                <w:sz w:val="20"/>
                <w:szCs w:val="20"/>
              </w:rPr>
              <w:t>страховой номер индивидуального лицевого счёта в системе обязательного пенсионного страхования заявителя (СНИЛС)</w:t>
            </w:r>
          </w:p>
          <w:p>
            <w:pPr>
              <w:pStyle w:val="ConsPlusNormal"/>
              <w:widowControl w:val="false"/>
              <w:rPr/>
            </w:pPr>
            <w:r>
              <w:rPr>
                <w:rFonts w:ascii="Arial" w:hAnsi="Arial"/>
                <w:sz w:val="21"/>
                <w:szCs w:val="21"/>
              </w:rPr>
              <w:t>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заявитель, в соответствии с частью 3 статьи 7 Федерального закона от 27.07.2010г. № 210-ФЗ,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(за исключением лиц, признанных безвестно отсутствующими, и разыскиваемых лиц, место нахождения которых не установлено уполномоченным федеральным органом исполнительной власти).</w:t>
            </w:r>
          </w:p>
        </w:tc>
      </w:tr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Web"/>
              <w:widowControl w:val="false"/>
              <w:spacing w:before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Результатом предоставления муниципальной услуги является</w:t>
            </w:r>
          </w:p>
          <w:p>
            <w:pPr>
              <w:pStyle w:val="ConsPlusNormal"/>
              <w:widowControl w:val="false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выдача социальной транспортной карты</w:t>
            </w:r>
          </w:p>
          <w:p>
            <w:pPr>
              <w:pStyle w:val="NormalWeb"/>
              <w:widowControl w:val="false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cs="Arial" w:ascii="Arial" w:hAnsi="Arial"/>
                <w:color w:val="000000"/>
                <w:sz w:val="21"/>
                <w:szCs w:val="21"/>
              </w:rPr>
              <w:t>выдача транспортной карты «Именной бесплатный проездной билет»</w:t>
            </w:r>
          </w:p>
          <w:p>
            <w:pPr>
              <w:pStyle w:val="ConsPlusNormal"/>
              <w:widowControl w:val="false"/>
              <w:numPr>
                <w:ilvl w:val="0"/>
                <w:numId w:val="1"/>
              </w:numPr>
              <w:spacing w:before="0" w:after="20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регистрация бесконтактной банковской карты платежной системы МИР в реестре социальных транспортных карт (РСТК)</w:t>
            </w:r>
          </w:p>
          <w:p>
            <w:pPr>
              <w:pStyle w:val="ConsPlusNormal"/>
              <w:widowControl w:val="false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изменение учетных данных ранее зарегистрированной карты МИР в РСТК</w:t>
            </w:r>
          </w:p>
          <w:p>
            <w:pPr>
              <w:pStyle w:val="ConsPlusNormal"/>
              <w:widowControl w:val="false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отказ в предоставлении муниципальной услуги.</w:t>
            </w:r>
          </w:p>
          <w:p>
            <w:pPr>
              <w:pStyle w:val="ConsPlusNormal"/>
              <w:widowControl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  <w:p>
            <w:pPr>
              <w:pStyle w:val="ConsPlusNormal"/>
              <w:widowControl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Результат хранится в МФЦ 30 дней, невостребованные карты направляются в Транспортное управление (Химмашевская, 2). Невостребованные карты заявитель получает в Транспортном управлении.</w:t>
            </w:r>
          </w:p>
          <w:p>
            <w:pPr>
              <w:pStyle w:val="ConsPlusNormal"/>
              <w:widowControl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  <w:p>
            <w:pPr>
              <w:pStyle w:val="ConsPlusNormal"/>
              <w:widowControl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В случае если у заявителя карта сломалась, потерялась и т.п. – за перевыпуском карты заявитель обращается в Эл</w:t>
            </w:r>
            <w:r>
              <w:rPr>
                <w:rFonts w:cs="Arial" w:ascii="Arial" w:hAnsi="Arial"/>
                <w:sz w:val="21"/>
                <w:szCs w:val="21"/>
              </w:rPr>
              <w:t>ь</w:t>
            </w:r>
            <w:r>
              <w:rPr>
                <w:rFonts w:cs="Arial" w:ascii="Arial" w:hAnsi="Arial"/>
                <w:sz w:val="21"/>
                <w:szCs w:val="21"/>
              </w:rPr>
              <w:t>карт</w:t>
            </w:r>
          </w:p>
          <w:p>
            <w:pPr>
              <w:pStyle w:val="ConsPlusNormal"/>
              <w:widowControl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 xml:space="preserve"> </w:t>
            </w:r>
            <w:r>
              <w:rPr>
                <w:rFonts w:cs="Arial" w:ascii="Arial" w:hAnsi="Arial"/>
                <w:sz w:val="21"/>
                <w:szCs w:val="21"/>
              </w:rPr>
              <w:t>(Пр-кт Машиностроителей, 36, офис 308.  Тел. 42-88-52.</w:t>
            </w:r>
            <w:bookmarkStart w:id="0" w:name="_GoBack"/>
            <w:bookmarkEnd w:id="0"/>
            <w:r>
              <w:rPr>
                <w:rFonts w:cs="Arial" w:ascii="Arial" w:hAnsi="Arial"/>
                <w:sz w:val="21"/>
                <w:szCs w:val="21"/>
              </w:rPr>
              <w:t>)</w:t>
            </w:r>
          </w:p>
          <w:p>
            <w:pPr>
              <w:pStyle w:val="ConsPlusNormal"/>
              <w:widowControl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</w:tr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0" w:type="dxa"/>
            </w:tcMar>
          </w:tcPr>
          <w:p>
            <w:pPr>
              <w:pStyle w:val="ConsPlusNormal"/>
              <w:widowControl w:val="false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sz w:val="21"/>
                <w:szCs w:val="21"/>
              </w:rPr>
              <w:t>Не более 30 календарных дней</w:t>
            </w:r>
          </w:p>
        </w:tc>
      </w:tr>
      <w:tr>
        <w:trPr>
          <w:trHeight w:val="1805" w:hRule="atLeast"/>
        </w:trPr>
        <w:tc>
          <w:tcPr>
            <w:tcW w:w="2458" w:type="dxa"/>
            <w:tcBorders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/>
                <w:sz w:val="21"/>
                <w:szCs w:val="21"/>
                <w:lang w:eastAsia="ru-RU"/>
              </w:rPr>
              <w:t>Контакты</w:t>
            </w:r>
          </w:p>
        </w:tc>
        <w:tc>
          <w:tcPr>
            <w:tcW w:w="1290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0" w:type="dxa"/>
            </w:tcMar>
          </w:tcPr>
          <w:p>
            <w:pPr>
              <w:pStyle w:val="ConsPlusNormal"/>
              <w:widowControl w:val="false"/>
              <w:jc w:val="left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- 42-80-15 (приемная МКУ «Транспортное управление» Департамента развития городского хозяйства Администрации города Кургана), ежедневно, с понедельника по четверг с 8-00 ч. до 17-00 ч., в пятницу – с 8-00ч. до 16-00 ч. за исключением выходных и праздничных дней, обеденный перерыв с 12-30 ч. до 13-15 ч.;</w:t>
            </w:r>
          </w:p>
          <w:p>
            <w:pPr>
              <w:pStyle w:val="ConsPlusNormal"/>
              <w:widowControl w:val="false"/>
              <w:jc w:val="left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br/>
              <w:t>- 25-54-75 (сектор правового обеспечения и кадров МКУ «Транспортное управление» Департамента развития городского хозяйства Администрации города Кургана) ежедневно, с понедельника по четверг с 8-00 ч. до 17-00 ч., в пятницу – с 8-00 ч. до 16-00 ч. за исключением выходных и праздничных дней, обеденный перерыв с 12-30 ч. до 13-15 ч.</w:t>
            </w:r>
          </w:p>
        </w:tc>
      </w:tr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0" w:type="dxa"/>
            </w:tcMar>
          </w:tcPr>
          <w:p>
            <w:pPr>
              <w:pStyle w:val="ConsPlusNormal"/>
              <w:widowControl w:val="false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  <w:shd w:fill="FFFFFF" w:val="clear"/>
              </w:rPr>
              <w:t xml:space="preserve">Оснований для отказа в приеме документов, необходимых для предоставления муниципальной услуги, </w:t>
            </w:r>
            <w:r>
              <w:rPr>
                <w:rFonts w:ascii="Arial" w:hAnsi="Arial"/>
                <w:sz w:val="21"/>
                <w:szCs w:val="21"/>
                <w:shd w:fill="FFFF00" w:val="clear"/>
              </w:rPr>
              <w:t>не имеется.</w:t>
            </w:r>
          </w:p>
        </w:tc>
      </w:tr>
      <w:tr>
        <w:trPr>
          <w:trHeight w:val="411" w:hRule="atLeast"/>
        </w:trPr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0" w:type="dxa"/>
            </w:tcMar>
          </w:tcPr>
          <w:p>
            <w:pPr>
              <w:pStyle w:val="ConsPlusNormal"/>
              <w:widowControl w:val="false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Плата за предоставление муниципальной услуги не взимается.</w:t>
            </w:r>
          </w:p>
        </w:tc>
      </w:tr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0" w:type="dxa"/>
            </w:tcMar>
          </w:tcPr>
          <w:p>
            <w:pPr>
              <w:pStyle w:val="ConsPlus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ConsPlusNormal"/>
              <w:widowControl w:val="false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 xml:space="preserve"> </w:t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unhideWhenUsed/>
    <w:rsid w:val="002f62a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c0105"/>
    <w:rPr>
      <w:b/>
      <w:bCs/>
    </w:rPr>
  </w:style>
  <w:style w:type="character" w:styleId="S5" w:customStyle="1">
    <w:name w:val="s5"/>
    <w:basedOn w:val="DefaultParagraphFont"/>
    <w:qFormat/>
    <w:rsid w:val="001f34a6"/>
    <w:rPr/>
  </w:style>
  <w:style w:type="character" w:styleId="Style16">
    <w:name w:val="Маркеры"/>
    <w:qFormat/>
    <w:rPr>
      <w:rFonts w:ascii="OpenSymbol" w:hAnsi="OpenSymbol" w:eastAsia="OpenSymbol" w:cs="OpenSymbol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ConsPlusTitle" w:customStyle="1">
    <w:name w:val="ConsPlusTitle"/>
    <w:qFormat/>
    <w:rsid w:val="001f41f3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b/>
      <w:color w:val="00000A"/>
      <w:kern w:val="0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39620a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2"/>
      <w:szCs w:val="20"/>
      <w:lang w:val="ru-RU" w:eastAsia="ru-RU" w:bidi="ar-SA"/>
    </w:rPr>
  </w:style>
  <w:style w:type="paragraph" w:styleId="Default" w:customStyle="1">
    <w:name w:val="Default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Calibri" w:cs=""/>
      <w:color w:val="000000"/>
      <w:kern w:val="0"/>
      <w:sz w:val="24"/>
      <w:szCs w:val="22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rsid w:val="004c0105"/>
    <w:pPr>
      <w:spacing w:lineRule="auto" w:line="240" w:beforeAutospacing="1" w:after="119"/>
    </w:pPr>
    <w:rPr>
      <w:rFonts w:ascii="Times New Roman" w:hAnsi="Times New Roman" w:eastAsia="Times New Roman" w:cs="Times New Roman"/>
      <w:color w:val="auto"/>
      <w:sz w:val="24"/>
      <w:szCs w:val="24"/>
      <w:lang w:eastAsia="ru-RU"/>
    </w:rPr>
  </w:style>
  <w:style w:type="paragraph" w:styleId="NoSpacing">
    <w:name w:val="No Spacing"/>
    <w:uiPriority w:val="1"/>
    <w:qFormat/>
    <w:rsid w:val="00af24a1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Calibri" w:cs="Times New Roman" w:eastAsiaTheme="minorHAnsi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kurgan-city.ru/upload/iblock/864/&#1056;&#1077;&#1075;&#1083;&#1072;&#1084;&#1077;&#1085;&#1090; &#1087;&#1086; &#1074;&#1099;&#1076;&#1072;&#1095;&#1077; &#1058;&#1050; _&#1040;&#1082;&#1090;&#1091;&#1072;&#1083;&#1100;&#1085;&#1099;&#1081; 29.04.2021.doc" TargetMode="External"/><Relationship Id="rId3" Type="http://schemas.openxmlformats.org/officeDocument/2006/relationships/hyperlink" Target="https://www.kurgan-city.ru/about/form/1110535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Application>LibreOffice/7.0.0.3$Windows_X86_64 LibreOffice_project/8061b3e9204bef6b321a21033174034a5e2ea88e</Application>
  <Pages>3</Pages>
  <Words>935</Words>
  <Characters>6849</Characters>
  <CharactersWithSpaces>7759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2020-06-17T06:16:00Z</dcterms:created>
  <dc:creator>Кондакова Наталия Петровна</dc:creator>
  <dc:description/>
  <dc:language>ru-RU</dc:language>
  <cp:lastModifiedBy/>
  <cp:lastPrinted>2018-08-08T10:10:00Z</cp:lastPrinted>
  <dcterms:modified xsi:type="dcterms:W3CDTF">2023-04-05T10:46:57Z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