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ar-SA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>
        <w:trPr>
          <w:trHeight w:val="836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Физические и юридические лица.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Заявителями на получение муниципальной услуги являются физические лица, юридические лица, индивидуальные предприниматели, являющиеся застройщиками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а) заявление о выдаче разрешения на строительство, заявление о внесении изменений, уведомление.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в)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г)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 пункте 6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vertAlign w:val="superscript"/>
                <w:lang w:eastAsia="en-US"/>
              </w:rPr>
              <w:t>2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 xml:space="preserve"> части 7 статьи 51 Градостроительного кодекса Российской Федерации случаев реконструкции многоквартирного дома 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действия разрешения на строительство);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д</w:t>
            </w: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а) разрешение на строительство (в том числе на отдельные этапы строительства, реконструкции объекта капитального строительства);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shd w:fill="auto" w:val="clear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б) решение об отказе в выдаче разрешения на строительство;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hd w:fill="auto" w:val="clear"/>
              </w:rPr>
            </w:pPr>
            <w:r>
              <w:rPr>
                <w:rFonts w:eastAsia="Calibri" w:cs="Arial" w:ascii="Times New Roman" w:hAnsi="Times New Roman"/>
                <w:bCs/>
                <w:color w:val="000000"/>
                <w:sz w:val="24"/>
                <w:szCs w:val="24"/>
                <w:shd w:fill="auto" w:val="clear"/>
                <w:lang w:eastAsia="en-US"/>
              </w:rPr>
              <w:t>в) решение об отказе во внесении изменений в разрешение на строительство.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 w:cs="Arial;sans-serif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  <w:lang w:val="ru-RU" w:eastAsia="en-US"/>
              </w:rPr>
              <w:t xml:space="preserve">не более </w:t>
            </w:r>
            <w:r>
              <w:rPr>
                <w:rFonts w:eastAsia="Calibri" w:cs="Arial" w:ascii="Times New Roman" w:hAnsi="Times New Roman"/>
                <w:b/>
                <w:bCs/>
                <w:color w:val="000000"/>
                <w:sz w:val="28"/>
                <w:szCs w:val="28"/>
                <w:shd w:fill="auto" w:val="clear"/>
                <w:lang w:val="ru-RU" w:eastAsia="en-US"/>
              </w:rPr>
              <w:t>пяти рабочих дней</w:t>
            </w:r>
            <w:r>
              <w:rPr>
                <w:rFonts w:eastAsia="Calibri" w:cs="Arial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  <w:lang w:val="ru-RU" w:eastAsia="en-US"/>
              </w:rPr>
              <w:t xml:space="preserve"> со дня получения заявления о выдаче разрешения на строительство, заявления о внесении изменений, уведомления Администрацией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Муниципальная услуга оказывается бесплатно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  <w:lang w:eastAsia="ru-RU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both"/>
              <w:textAlignment w:val="baselin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>Об утверждении Административного регламента предоставления Администрацией Варгашинского поссовета муниципальной услуги</w:t>
            </w:r>
            <w:r>
              <w:rPr>
                <w:rFonts w:eastAsia="Calibri" w:cs="Arial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 xml:space="preserve">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Варгашинского поссовета Варгашинского района Курганской области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LibreOffice/7.0.0.3$Windows_X86_64 LibreOffice_project/8061b3e9204bef6b321a21033174034a5e2ea88e</Application>
  <Pages>2</Pages>
  <Words>412</Words>
  <Characters>3163</Characters>
  <CharactersWithSpaces>3541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2022-05-12T08:36:11Z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