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99769E" w:rsidTr="007731BA">
        <w:trPr>
          <w:trHeight w:val="135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9769E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9769E" w:rsidRDefault="00BA59C1" w:rsidP="00BA59C1">
            <w:pPr>
              <w:spacing w:before="100" w:beforeAutospacing="1" w:after="119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A59C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shd w:val="clear" w:color="auto" w:fill="FFFFFF"/>
                <w:lang w:eastAsia="ru-RU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населенных пунктов </w:t>
            </w:r>
            <w:proofErr w:type="spellStart"/>
            <w:r w:rsidRPr="00BA59C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BA59C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округа, посадки (взлета) на расположенные в границах населенных пунктов </w:t>
            </w:r>
            <w:proofErr w:type="spellStart"/>
            <w:r w:rsidRPr="00BA59C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BA59C1">
              <w:rPr>
                <w:rFonts w:ascii="Arial" w:eastAsia="Times New Roman" w:hAnsi="Arial" w:cs="Arial"/>
                <w:b/>
                <w:color w:val="00000A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муниципального округа площадки, сведения о которых не опубликованы в документах аэронавигационной информации</w:t>
            </w:r>
            <w:proofErr w:type="gramEnd"/>
          </w:p>
        </w:tc>
      </w:tr>
      <w:tr w:rsidR="00236378" w:rsidRPr="0099769E" w:rsidTr="00486D9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4381" w:rsidRPr="00A94381" w:rsidRDefault="00A94381" w:rsidP="00A94381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A943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A943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9976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Курганской области</w:t>
            </w:r>
          </w:p>
          <w:p w:rsidR="00F64867" w:rsidRPr="0099769E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36378" w:rsidRPr="0099769E" w:rsidTr="00486D9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9769E" w:rsidRDefault="008E353F" w:rsidP="008E353F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E35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или юридические лица, заявитель вправе обратиться за получением муниципальной услуги через представителя</w:t>
            </w:r>
          </w:p>
        </w:tc>
      </w:tr>
      <w:tr w:rsidR="00236378" w:rsidRPr="0099769E" w:rsidTr="00163384">
        <w:trPr>
          <w:trHeight w:val="112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3384" w:rsidRPr="00163384" w:rsidRDefault="00163384" w:rsidP="001633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1633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заявление о предоставлении услуги;</w:t>
            </w:r>
          </w:p>
          <w:p w:rsidR="00163384" w:rsidRPr="00163384" w:rsidRDefault="00163384" w:rsidP="001633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3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163384">
              <w:rPr>
                <w:rFonts w:ascii="Arial" w:eastAsia="Times New Roman" w:hAnsi="Arial" w:cs="Arial"/>
                <w:color w:val="1C1C1C"/>
                <w:sz w:val="24"/>
                <w:szCs w:val="24"/>
                <w:lang w:eastAsia="ru-RU"/>
              </w:rPr>
              <w:t>документ, подтверждающего право владения воздушным судном на законных основаниях;</w:t>
            </w:r>
          </w:p>
          <w:p w:rsidR="00236378" w:rsidRPr="0099769E" w:rsidRDefault="00163384" w:rsidP="001633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63384">
              <w:rPr>
                <w:rFonts w:ascii="Arial" w:eastAsia="Times New Roman" w:hAnsi="Arial" w:cs="Arial"/>
                <w:color w:val="1C1C1C"/>
                <w:sz w:val="24"/>
                <w:szCs w:val="24"/>
                <w:lang w:eastAsia="ru-RU"/>
              </w:rPr>
              <w:t>- документ, подтверждающего полномочия лица на осуществление действий от имени заявителя (в случае обр</w:t>
            </w:r>
            <w:r w:rsidRPr="0099769E">
              <w:rPr>
                <w:rFonts w:ascii="Arial" w:eastAsia="Times New Roman" w:hAnsi="Arial" w:cs="Arial"/>
                <w:color w:val="1C1C1C"/>
                <w:sz w:val="24"/>
                <w:szCs w:val="24"/>
                <w:lang w:eastAsia="ru-RU"/>
              </w:rPr>
              <w:t>ащения представителя заявителя)</w:t>
            </w:r>
          </w:p>
        </w:tc>
      </w:tr>
      <w:tr w:rsidR="00236378" w:rsidRPr="0099769E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65EB" w:rsidRPr="003165EB" w:rsidRDefault="003165EB" w:rsidP="003165EB">
            <w:pPr>
              <w:spacing w:after="0" w:line="1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65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 w:rsidRPr="003165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выписка из ЕГРЮЛ;</w:t>
            </w:r>
          </w:p>
          <w:p w:rsidR="00236378" w:rsidRPr="0099769E" w:rsidRDefault="003165EB" w:rsidP="003165EB">
            <w:pPr>
              <w:spacing w:after="0" w:line="10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65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выписка из ЕГРИП.</w:t>
            </w:r>
          </w:p>
        </w:tc>
      </w:tr>
      <w:tr w:rsidR="00236378" w:rsidRPr="0099769E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9769E" w:rsidRDefault="007040BC" w:rsidP="007040BC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040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Выдача заявителю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населенных пунктов </w:t>
            </w:r>
            <w:proofErr w:type="spellStart"/>
            <w:r w:rsidRPr="007040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7040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округа, посадки (взлета) на расположенные в границах населенных пунктов </w:t>
            </w:r>
            <w:proofErr w:type="spellStart"/>
            <w:r w:rsidRPr="007040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7040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округа площадки, сведения о которых не опубликованы в документах аэронавигационной информации либо отказа в выдаче разрешения.</w:t>
            </w:r>
            <w:proofErr w:type="gramEnd"/>
          </w:p>
        </w:tc>
      </w:tr>
      <w:tr w:rsidR="00236378" w:rsidRPr="0099769E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36AA3" w:rsidRPr="00F36AA3" w:rsidRDefault="00F36AA3" w:rsidP="00F36AA3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6A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календарных дней</w:t>
            </w:r>
          </w:p>
          <w:p w:rsidR="008E6DCE" w:rsidRPr="0099769E" w:rsidRDefault="008E6DCE" w:rsidP="0074201F">
            <w:pPr>
              <w:spacing w:before="100" w:beforeAutospacing="1" w:after="19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99769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Основания для отказа</w:t>
            </w:r>
            <w:r w:rsidR="00E01D36"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9769E" w:rsidRDefault="007040BC" w:rsidP="005727D5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99769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9769E" w:rsidRDefault="007040BC" w:rsidP="006B6BCE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769E">
              <w:rPr>
                <w:rFonts w:ascii="Arial" w:hAnsi="Arial" w:cs="Arial"/>
                <w:color w:val="000000"/>
                <w:sz w:val="24"/>
                <w:szCs w:val="24"/>
              </w:rPr>
              <w:t>бесплатно</w:t>
            </w:r>
          </w:p>
        </w:tc>
      </w:tr>
      <w:tr w:rsidR="00236378" w:rsidRPr="0099769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9769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9769E" w:rsidRDefault="007040BC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36378" w:rsidRPr="0099769E" w:rsidTr="00004070">
        <w:trPr>
          <w:trHeight w:val="256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9769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9769E" w:rsidRDefault="0099769E" w:rsidP="006B33FA">
            <w:pPr>
              <w:spacing w:before="100" w:beforeAutospacing="1" w:after="19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9769E">
              <w:rPr>
                <w:rStyle w:val="FontStyle20"/>
                <w:rFonts w:ascii="Arial" w:hAnsi="Arial" w:cs="Arial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9769E">
              <w:rPr>
                <w:rFonts w:ascii="Arial" w:hAnsi="Arial" w:cs="Arial"/>
                <w:sz w:val="24"/>
                <w:szCs w:val="24"/>
              </w:rPr>
              <w:t>Лебяжьевского</w:t>
            </w:r>
            <w:proofErr w:type="spellEnd"/>
            <w:r w:rsidRPr="00997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69E">
              <w:rPr>
                <w:rStyle w:val="FontStyle20"/>
                <w:rFonts w:ascii="Arial" w:hAnsi="Arial" w:cs="Arial"/>
                <w:sz w:val="24"/>
                <w:szCs w:val="24"/>
              </w:rPr>
              <w:t xml:space="preserve">муниципальный округа от </w:t>
            </w:r>
            <w:r w:rsidRPr="0099769E">
              <w:rPr>
                <w:rFonts w:ascii="Arial" w:hAnsi="Arial" w:cs="Arial"/>
                <w:sz w:val="24"/>
                <w:szCs w:val="24"/>
              </w:rPr>
              <w:t>27 июля 2021 года № 07</w:t>
            </w:r>
            <w:r w:rsidRPr="0099769E">
              <w:rPr>
                <w:rStyle w:val="2"/>
                <w:rFonts w:ascii="Arial" w:hAnsi="Arial" w:cs="Arial"/>
              </w:rPr>
              <w:t xml:space="preserve"> «</w:t>
            </w:r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>Лебяжьевского</w:t>
            </w:r>
            <w:proofErr w:type="spellEnd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 xml:space="preserve"> муниципального округа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населенных пунктов </w:t>
            </w:r>
            <w:proofErr w:type="spellStart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>Лебяжьевского</w:t>
            </w:r>
            <w:proofErr w:type="spellEnd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 xml:space="preserve"> муниципального округа, посадки (взлета) на расположенные в границах населенных пунктов </w:t>
            </w:r>
            <w:proofErr w:type="spellStart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>Лебяжьевского</w:t>
            </w:r>
            <w:proofErr w:type="spellEnd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 xml:space="preserve"> муниципального округа площадки</w:t>
            </w:r>
            <w:proofErr w:type="gramEnd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 xml:space="preserve">, </w:t>
            </w:r>
            <w:proofErr w:type="gramStart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>сведения</w:t>
            </w:r>
            <w:proofErr w:type="gramEnd"/>
            <w:r w:rsidRPr="0099769E">
              <w:rPr>
                <w:rFonts w:ascii="Arial" w:hAnsi="Arial" w:cs="Arial"/>
                <w:color w:val="00000A"/>
                <w:kern w:val="1"/>
                <w:sz w:val="24"/>
                <w:szCs w:val="24"/>
                <w:lang w:eastAsia="zh-CN"/>
              </w:rPr>
              <w:t xml:space="preserve"> о которых не опубликованы в документах аэронавигационной информации»</w:t>
            </w:r>
            <w:bookmarkStart w:id="2" w:name="_GoBack"/>
            <w:bookmarkEnd w:id="2"/>
          </w:p>
        </w:tc>
      </w:tr>
      <w:tr w:rsidR="00486D99" w:rsidRPr="0099769E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6D99" w:rsidRPr="0099769E" w:rsidRDefault="00486D99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9769E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6475A" w:rsidRPr="0099769E" w:rsidRDefault="0016475A" w:rsidP="00A67419">
            <w:pPr>
              <w:pStyle w:val="a6"/>
              <w:spacing w:after="0"/>
              <w:rPr>
                <w:rFonts w:ascii="Arial" w:hAnsi="Arial" w:cs="Arial"/>
                <w:color w:val="000000"/>
              </w:rPr>
            </w:pPr>
            <w:r w:rsidRPr="0099769E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99769E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99769E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99769E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99769E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163384" w:rsidRPr="0099769E" w:rsidRDefault="00163384" w:rsidP="00A67419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9769E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99769E">
              <w:rPr>
                <w:rFonts w:ascii="Arial" w:hAnsi="Arial" w:cs="Arial"/>
              </w:rPr>
              <w:t xml:space="preserve"> </w:t>
            </w:r>
            <w:r w:rsidRPr="0099769E">
              <w:rPr>
                <w:rFonts w:ascii="Arial" w:hAnsi="Arial" w:cs="Arial"/>
                <w:color w:val="1C1C1C"/>
                <w:shd w:val="clear" w:color="auto" w:fill="FFFFFF"/>
              </w:rPr>
              <w:t>641500, Россия, Курганская область,</w:t>
            </w:r>
            <w:r w:rsidRPr="0099769E">
              <w:rPr>
                <w:rFonts w:ascii="Arial" w:hAnsi="Arial" w:cs="Arial"/>
              </w:rPr>
              <w:t xml:space="preserve"> </w:t>
            </w:r>
            <w:proofErr w:type="spellStart"/>
            <w:r w:rsidRPr="0099769E">
              <w:rPr>
                <w:rFonts w:ascii="Arial" w:hAnsi="Arial" w:cs="Arial"/>
              </w:rPr>
              <w:t>р.п</w:t>
            </w:r>
            <w:proofErr w:type="spellEnd"/>
            <w:r w:rsidRPr="0099769E">
              <w:rPr>
                <w:rFonts w:ascii="Arial" w:hAnsi="Arial" w:cs="Arial"/>
              </w:rPr>
              <w:t xml:space="preserve">. </w:t>
            </w:r>
            <w:proofErr w:type="gramStart"/>
            <w:r w:rsidRPr="0099769E">
              <w:rPr>
                <w:rFonts w:ascii="Arial" w:hAnsi="Arial" w:cs="Arial"/>
              </w:rPr>
              <w:t>Лебяжье</w:t>
            </w:r>
            <w:proofErr w:type="gramEnd"/>
            <w:r w:rsidRPr="0099769E">
              <w:rPr>
                <w:rFonts w:ascii="Arial" w:hAnsi="Arial" w:cs="Arial"/>
              </w:rPr>
              <w:t>, ул. Пушкина, 14</w:t>
            </w:r>
          </w:p>
          <w:p w:rsidR="00163384" w:rsidRPr="0099769E" w:rsidRDefault="00163384" w:rsidP="00A67419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9769E">
              <w:rPr>
                <w:rFonts w:ascii="Arial" w:hAnsi="Arial" w:cs="Arial"/>
                <w:b/>
                <w:bCs/>
              </w:rPr>
              <w:t>Справочные номера телефонов:</w:t>
            </w:r>
            <w:r w:rsidRPr="0099769E">
              <w:rPr>
                <w:rFonts w:ascii="Arial" w:hAnsi="Arial" w:cs="Arial"/>
              </w:rPr>
              <w:t xml:space="preserve"> 8(35237) 9-08-78; 8(35237) 9-00-63 </w:t>
            </w:r>
          </w:p>
          <w:p w:rsidR="00163384" w:rsidRPr="0099769E" w:rsidRDefault="00163384" w:rsidP="00A67419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9769E">
              <w:rPr>
                <w:rFonts w:ascii="Arial" w:hAnsi="Arial" w:cs="Arial"/>
                <w:b/>
                <w:bCs/>
              </w:rPr>
              <w:t>График работы</w:t>
            </w:r>
            <w:proofErr w:type="gramStart"/>
            <w:r w:rsidRPr="0099769E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99769E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163384" w:rsidRPr="0099769E" w:rsidRDefault="00163384" w:rsidP="00A67419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9769E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163384" w:rsidRPr="0099769E" w:rsidRDefault="00163384" w:rsidP="00A67419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9769E">
              <w:rPr>
                <w:rFonts w:ascii="Arial" w:hAnsi="Arial" w:cs="Arial"/>
              </w:rPr>
              <w:t>фициальный</w:t>
            </w:r>
            <w:proofErr w:type="spellEnd"/>
            <w:r w:rsidRPr="0099769E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99769E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99769E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99769E">
              <w:rPr>
                <w:rFonts w:ascii="Arial" w:hAnsi="Arial" w:cs="Arial"/>
              </w:rPr>
              <w:t>.</w:t>
            </w:r>
          </w:p>
          <w:p w:rsidR="00486D99" w:rsidRPr="0099769E" w:rsidRDefault="00163384" w:rsidP="00A67419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9769E">
              <w:rPr>
                <w:rFonts w:ascii="Arial" w:hAnsi="Arial" w:cs="Arial"/>
              </w:rPr>
              <w:t xml:space="preserve">Адрес электронной почты: </w:t>
            </w:r>
            <w:hyperlink r:id="rId6" w:tgtFrame="_top" w:history="1">
              <w:r w:rsidRPr="0099769E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7" w:tgtFrame="_top" w:history="1">
              <w:r w:rsidRPr="0099769E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8" w:tgtFrame="_top" w:history="1">
              <w:r w:rsidRPr="0099769E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9" w:tgtFrame="_top" w:history="1">
              <w:proofErr w:type="spellStart"/>
              <w:r w:rsidRPr="0099769E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99769E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1" w:tgtFrame="_top" w:history="1">
              <w:proofErr w:type="spellStart"/>
              <w:r w:rsidRPr="0099769E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  <w:r w:rsidRPr="0099769E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5173B8" w:rsidRPr="00B41036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B41036" w:rsidRDefault="00D41FB9">
      <w:pPr>
        <w:rPr>
          <w:rFonts w:ascii="Arial" w:hAnsi="Arial" w:cs="Arial"/>
          <w:sz w:val="20"/>
          <w:szCs w:val="20"/>
        </w:rPr>
      </w:pPr>
    </w:p>
    <w:sectPr w:rsidR="00D41FB9" w:rsidRPr="00B4103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070"/>
    <w:rsid w:val="00004F58"/>
    <w:rsid w:val="0001314F"/>
    <w:rsid w:val="00024A0A"/>
    <w:rsid w:val="00031556"/>
    <w:rsid w:val="00084554"/>
    <w:rsid w:val="00086A6D"/>
    <w:rsid w:val="000D2B75"/>
    <w:rsid w:val="000F22AA"/>
    <w:rsid w:val="000F61A1"/>
    <w:rsid w:val="00123FAD"/>
    <w:rsid w:val="00136ED9"/>
    <w:rsid w:val="00163384"/>
    <w:rsid w:val="0016475A"/>
    <w:rsid w:val="001A2D4E"/>
    <w:rsid w:val="001A4053"/>
    <w:rsid w:val="001E7B89"/>
    <w:rsid w:val="00236378"/>
    <w:rsid w:val="00266F28"/>
    <w:rsid w:val="002705D5"/>
    <w:rsid w:val="00290CF7"/>
    <w:rsid w:val="002D3C2F"/>
    <w:rsid w:val="00305774"/>
    <w:rsid w:val="003165EB"/>
    <w:rsid w:val="00353C4F"/>
    <w:rsid w:val="00377300"/>
    <w:rsid w:val="00387068"/>
    <w:rsid w:val="003879E5"/>
    <w:rsid w:val="004166E5"/>
    <w:rsid w:val="00416FCD"/>
    <w:rsid w:val="004215A7"/>
    <w:rsid w:val="00474B0C"/>
    <w:rsid w:val="00486D99"/>
    <w:rsid w:val="004C6584"/>
    <w:rsid w:val="00503DA4"/>
    <w:rsid w:val="005173B8"/>
    <w:rsid w:val="00554703"/>
    <w:rsid w:val="005571C3"/>
    <w:rsid w:val="005727D5"/>
    <w:rsid w:val="005C3ACB"/>
    <w:rsid w:val="005E10AF"/>
    <w:rsid w:val="00624927"/>
    <w:rsid w:val="0063041E"/>
    <w:rsid w:val="00664B99"/>
    <w:rsid w:val="00690CD3"/>
    <w:rsid w:val="006B33FA"/>
    <w:rsid w:val="006B6BCE"/>
    <w:rsid w:val="006E57F1"/>
    <w:rsid w:val="006E607C"/>
    <w:rsid w:val="0070246E"/>
    <w:rsid w:val="007040BC"/>
    <w:rsid w:val="00725236"/>
    <w:rsid w:val="007316C2"/>
    <w:rsid w:val="0074201F"/>
    <w:rsid w:val="007731BA"/>
    <w:rsid w:val="00791B18"/>
    <w:rsid w:val="007A7FA2"/>
    <w:rsid w:val="007C3EDE"/>
    <w:rsid w:val="007D03C4"/>
    <w:rsid w:val="007E64A8"/>
    <w:rsid w:val="008031F6"/>
    <w:rsid w:val="00820739"/>
    <w:rsid w:val="0084723C"/>
    <w:rsid w:val="008B7119"/>
    <w:rsid w:val="008E353F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9769E"/>
    <w:rsid w:val="009A6BC3"/>
    <w:rsid w:val="009C40C6"/>
    <w:rsid w:val="009F585F"/>
    <w:rsid w:val="00A55DB0"/>
    <w:rsid w:val="00A61333"/>
    <w:rsid w:val="00A67419"/>
    <w:rsid w:val="00A744F2"/>
    <w:rsid w:val="00A87F4A"/>
    <w:rsid w:val="00A94381"/>
    <w:rsid w:val="00AA6048"/>
    <w:rsid w:val="00AC19FC"/>
    <w:rsid w:val="00AD1362"/>
    <w:rsid w:val="00AE3A66"/>
    <w:rsid w:val="00AF19A1"/>
    <w:rsid w:val="00B3564C"/>
    <w:rsid w:val="00B41036"/>
    <w:rsid w:val="00B67D35"/>
    <w:rsid w:val="00B74467"/>
    <w:rsid w:val="00BA4137"/>
    <w:rsid w:val="00BA59C1"/>
    <w:rsid w:val="00BC720F"/>
    <w:rsid w:val="00BD76F8"/>
    <w:rsid w:val="00C50922"/>
    <w:rsid w:val="00C8588E"/>
    <w:rsid w:val="00CB2011"/>
    <w:rsid w:val="00CD3FCA"/>
    <w:rsid w:val="00CE00ED"/>
    <w:rsid w:val="00CE11E1"/>
    <w:rsid w:val="00D13DDB"/>
    <w:rsid w:val="00D41FB9"/>
    <w:rsid w:val="00D7544D"/>
    <w:rsid w:val="00DA520D"/>
    <w:rsid w:val="00DA7728"/>
    <w:rsid w:val="00DD2D63"/>
    <w:rsid w:val="00E00926"/>
    <w:rsid w:val="00E01D36"/>
    <w:rsid w:val="00E06654"/>
    <w:rsid w:val="00E42FC7"/>
    <w:rsid w:val="00E50D5C"/>
    <w:rsid w:val="00E54658"/>
    <w:rsid w:val="00E74706"/>
    <w:rsid w:val="00E8478E"/>
    <w:rsid w:val="00E8570A"/>
    <w:rsid w:val="00E865E3"/>
    <w:rsid w:val="00E9125B"/>
    <w:rsid w:val="00EB7A4F"/>
    <w:rsid w:val="00EF0BE8"/>
    <w:rsid w:val="00F10947"/>
    <w:rsid w:val="00F36AA3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FontStyle20">
    <w:name w:val="Font Style20"/>
    <w:basedOn w:val="a0"/>
    <w:rsid w:val="0099769E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2 Знак"/>
    <w:rsid w:val="009976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FontStyle20">
    <w:name w:val="Font Style20"/>
    <w:basedOn w:val="a0"/>
    <w:rsid w:val="0099769E"/>
    <w:rPr>
      <w:rFonts w:ascii="Times New Roman" w:hAnsi="Times New Roman" w:cs="Times New Roman"/>
      <w:sz w:val="18"/>
      <w:szCs w:val="18"/>
    </w:rPr>
  </w:style>
  <w:style w:type="character" w:customStyle="1" w:styleId="2">
    <w:name w:val="Основной текст 2 Знак"/>
    <w:rsid w:val="009976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126</cp:revision>
  <cp:lastPrinted>2018-08-08T10:10:00Z</cp:lastPrinted>
  <dcterms:created xsi:type="dcterms:W3CDTF">2018-05-28T04:16:00Z</dcterms:created>
  <dcterms:modified xsi:type="dcterms:W3CDTF">2022-04-26T08:47:00Z</dcterms:modified>
</cp:coreProperties>
</file>