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38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3378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Наименование услуги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</w:rPr>
              <w:t>Государственная услуга по государственной регистрации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включая выдачу повторных свидетельств (справок), иных документов, подтверждающих наличие или отсутствие факта государственной регистрации акта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shd w:fill="CFD6E5" w:val="clear"/>
                <w:lang w:eastAsia="ru-RU"/>
              </w:rPr>
              <w:t>Наименование «подуслуги»</w:t>
            </w:r>
          </w:p>
        </w:tc>
        <w:tc>
          <w:tcPr>
            <w:tcW w:w="1337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PT Serif" w:cs="Arial"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Выдача повторного свидетельства о государственной регистрации акта гражданского состояния или иного документа, подтверждающего наличие или отсутствие факта государственной регистрации акта гражданского состояния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Ответственный орган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Управление записи актов гражданского состояния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Услуга предоставляется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Курганский городской отдел Управления записи актов гражданского состояния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Структурные подразделения органом местного самоуправления муниципальных образований Курганской области, наделенные полномочиями на государственную регистрацию актов гражданского состояния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Получатели услуги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hyperlink r:id="rId2" w:tgtFrame="Физические лица">
              <w:r>
                <w:rPr>
                  <w:rFonts w:eastAsia="Times New Roman" w:cs="Arial" w:ascii="Arial" w:hAnsi="Arial"/>
                  <w:sz w:val="22"/>
                  <w:szCs w:val="22"/>
                  <w:shd w:fill="auto" w:val="clear"/>
                  <w:lang w:eastAsia="ru-RU"/>
                </w:rPr>
                <w:t>Физические лица</w:t>
              </w:r>
            </w:hyperlink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Заявители</w:t>
            </w:r>
          </w:p>
        </w:tc>
        <w:tc>
          <w:tcPr>
            <w:tcW w:w="1337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1) граждане Российской Федерации;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2) иностранные граждане;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3) лица без гражданства.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FFFF00" w:val="clear"/>
                <w:lang w:eastAsia="ru-RU"/>
              </w:rPr>
            </w:r>
          </w:p>
        </w:tc>
        <w:tc>
          <w:tcPr>
            <w:tcW w:w="1337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65" w:leader="none"/>
                <w:tab w:val="left" w:pos="570" w:leader="none"/>
              </w:tabs>
              <w:spacing w:lineRule="auto" w:line="276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Повторное свидетельство о государственной регистрации акта гражданского состояния и иные документы, подтверждающие наличие или отсутствие факта государственной регистрации акта гражданского состояния, выдаются: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65" w:leader="none"/>
                <w:tab w:val="left" w:pos="570" w:leader="none"/>
              </w:tabs>
              <w:spacing w:lineRule="auto" w:line="276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- лицу, в отношении которого была составлена запись акта гражданского состояния;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- родственнику умершего или другому заинтересованному лицу, в случае если лицо, в отношении которого была составлена ранее запись акта гражданского состояния, умерло;</w:t>
            </w:r>
            <w:bookmarkStart w:id="0" w:name="sub_90231"/>
            <w:bookmarkEnd w:id="0"/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- родителям (лицам, их заменяющим), в случае если лицо, в отношении которого была составлена запись акта о рождении, не достигло ко дню выдачи повторного свидетельства совершеннолетия (по достижении ребенком совершеннолетия его родителям (одному из родителей) по их просьбе выдается иной документ, подтверждающий факт государственной регистрации рождения ребенка);</w:t>
            </w:r>
            <w:bookmarkStart w:id="1" w:name="sub_90241"/>
            <w:bookmarkEnd w:id="1"/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- опекунам лиц, признанных недееспособными;</w:t>
            </w:r>
            <w:bookmarkStart w:id="2" w:name="sub_90251"/>
            <w:bookmarkEnd w:id="2"/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shd w:fill="auto" w:val="clear"/>
                <w:lang w:eastAsia="ru-RU" w:bidi="ar-SA"/>
              </w:rPr>
              <w:t>- иному лицу, в случае представления нотариально удостоверенной доверенности от лица, имеющего право на получение повторного свидетельства о государственной регистрации акта гражданского состояния.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bookmarkStart w:id="3" w:name="sub_130001"/>
            <w:bookmarkEnd w:id="3"/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Повторное свидетельство о государственной регистрации акта гражданского состояния не выдается: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bookmarkStart w:id="4" w:name="sub_1300011"/>
            <w:bookmarkEnd w:id="4"/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- родителям (одному из родителей) ребенка, в отношении которого они лишены родительских прав или ограничены в родительских правах, – свидетельство о рождении ребенка;</w:t>
            </w:r>
            <w:bookmarkStart w:id="5" w:name="sub_130011"/>
            <w:bookmarkEnd w:id="5"/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- лицам, расторгнувшим брак, и лицам, брак которых признан недействительным, – свидетельство о заключении брака.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По просьбе указанных лиц им выдается иной документ, подтверждающий факт государственной регистрации рождения ребенка или заключения брака.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283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shd w:fill="auto" w:val="clear"/>
                <w:lang w:eastAsia="ru-RU" w:bidi="ar-SA"/>
              </w:rPr>
              <w:t>Лицу, не состоящему в браке, по его просьбе может быть выдан документ об отсутствии факта государственной регистрации заключения брака заявителя.</w:t>
            </w:r>
          </w:p>
        </w:tc>
      </w:tr>
      <w:tr>
        <w:trPr>
          <w:trHeight w:val="4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Обязательные документы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Autospacing="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cs="Arial" w:ascii="Arial" w:hAnsi="Arial"/>
                <w:bCs w:val="false"/>
                <w:iCs/>
                <w:sz w:val="22"/>
                <w:szCs w:val="22"/>
                <w:shd w:fill="auto" w:val="clear"/>
              </w:rPr>
              <w:t xml:space="preserve">Для получения повторного свидетельства (справки) </w:t>
            </w:r>
            <w:r>
              <w:rPr>
                <w:rFonts w:cs="Arial" w:ascii="Arial" w:hAnsi="Arial"/>
                <w:b/>
                <w:iCs/>
                <w:sz w:val="22"/>
                <w:szCs w:val="22"/>
                <w:shd w:fill="auto" w:val="clear"/>
              </w:rPr>
              <w:t>о государственной регистрации акта гражданского состояния</w:t>
            </w:r>
            <w:r>
              <w:rPr>
                <w:rFonts w:cs="Arial" w:ascii="Arial" w:hAnsi="Arial"/>
                <w:iCs/>
                <w:sz w:val="22"/>
                <w:szCs w:val="22"/>
                <w:shd w:fill="auto" w:val="clear"/>
              </w:rPr>
              <w:t xml:space="preserve"> заявитель предоставляет в МФЦ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1) заявление</w:t>
            </w:r>
            <w:bookmarkStart w:id="6" w:name="sub_176"/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 </w:t>
            </w:r>
            <w:bookmarkEnd w:id="6"/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о выдаче повторного свидетельства о государственной регистрации акта гражданского состояния или иного документа (справки), подтверждающего наличие либо отсутствие факта государственной регистрации акта гражданского состояния;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2) документ, удостоверяющий личность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3) документы, подтверждающие право заявителя на получение повторного свидетельства (справки) о государственной регистрации акта гражданского состояния;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eastAsia="ru-RU" w:bidi="ar-SA"/>
              </w:rPr>
              <w:t>4</w:t>
            </w:r>
            <w:bookmarkStart w:id="7" w:name="sub_134"/>
            <w:r>
              <w:rPr>
                <w:rFonts w:cs="Arial" w:ascii="Arial" w:hAnsi="Arial"/>
                <w:sz w:val="22"/>
                <w:szCs w:val="22"/>
                <w:shd w:fill="auto" w:val="clear"/>
                <w:lang w:eastAsia="ru-RU" w:bidi="ar-SA"/>
              </w:rPr>
              <w:t>) документ, подтверждающий уплату государственной пошлины за выдачу повторного свидетельства (справки) о государственной регистрации акта гражданского состояния, или документ, являющийся основанием для предоставления налоговых льгот физическим лицам.</w:t>
            </w:r>
            <w:bookmarkEnd w:id="7"/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Необязательные документы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65" w:leader="none"/>
                <w:tab w:val="left" w:pos="570" w:leader="none"/>
                <w:tab w:val="left" w:pos="1020" w:leader="none"/>
              </w:tabs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Результат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3"/>
                <w:rFonts w:eastAsia="Arial" w:cs="Arial" w:ascii="Arial" w:hAnsi="Arial"/>
                <w:sz w:val="22"/>
                <w:szCs w:val="22"/>
                <w:shd w:fill="auto" w:val="clear"/>
              </w:rPr>
              <w:t>Результатом предоставления государственной услуги является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3"/>
                <w:rFonts w:cs="Arial" w:ascii="Arial" w:hAnsi="Arial"/>
                <w:sz w:val="22"/>
                <w:szCs w:val="22"/>
                <w:shd w:fill="auto" w:val="clear"/>
              </w:rPr>
              <w:t>1</w:t>
            </w:r>
            <w:r>
              <w:rPr>
                <w:rStyle w:val="3"/>
                <w:rFonts w:eastAsia="Arial" w:cs="Arial" w:ascii="Arial" w:hAnsi="Arial"/>
                <w:sz w:val="22"/>
                <w:szCs w:val="22"/>
                <w:shd w:fill="auto" w:val="clear"/>
              </w:rPr>
              <w:t>)</w:t>
            </w:r>
            <w:r>
              <w:rPr>
                <w:rStyle w:val="3"/>
                <w:rFonts w:cs="Arial" w:ascii="Arial" w:hAnsi="Arial"/>
                <w:sz w:val="22"/>
                <w:szCs w:val="22"/>
                <w:shd w:fill="auto" w:val="clear"/>
              </w:rPr>
              <w:t xml:space="preserve"> повторное свидетельство (справка) о государственной регистрации акта гражданского состояния;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3"/>
                <w:rFonts w:eastAsia="Arial" w:cs="Arial" w:ascii="Arial" w:hAnsi="Arial"/>
                <w:kern w:val="2"/>
                <w:sz w:val="22"/>
                <w:szCs w:val="22"/>
                <w:shd w:fill="auto" w:val="clear"/>
                <w:lang w:eastAsia="ar-SA"/>
              </w:rPr>
              <w:t>2) извещение об отсутствии записи акта гражданского состояния;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Срок предоставления услуги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65" w:leader="none"/>
                <w:tab w:val="left" w:pos="570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в течении 2 рабочих дней со дня поступления документов из МФЦ, Орган принимает решение о предоставлении либо отказе в предоставлении государственной услуги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"/>
                <w:rFonts w:eastAsia="Arial" w:cs="Arial" w:ascii="Arial" w:hAnsi="Arial"/>
                <w:sz w:val="22"/>
                <w:szCs w:val="22"/>
                <w:shd w:fill="auto" w:val="clear"/>
              </w:rPr>
              <w:t>Основания для отказа в приеме заявления и документов, необходимых для предоставления государственной услуги, отсутствуют.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Стоимость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 соответствии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ст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. 333.26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Кодекса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государственная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пошлина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уплачивается в следующих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размерах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-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за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выдачу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повторного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свидетельства о государственной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регистрации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акта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гражданского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состояния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– 500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рублей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-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за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выдачу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физическим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лицам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справок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из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архивов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органов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записи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актов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гражданского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состояния и иных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уполномоченных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органов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– 350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рублей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/>
              </w:rPr>
              <w:t>Государственную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/>
              </w:rPr>
              <w:t>пошлину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/>
              </w:rPr>
              <w:t>не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/>
              </w:rPr>
              <w:t>уплачивают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/>
              </w:rPr>
              <w:t>лица в случаях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</w:rPr>
              <w:t xml:space="preserve">, 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/>
              </w:rPr>
              <w:t>установленных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/>
              </w:rPr>
              <w:t>статьями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</w:rPr>
              <w:t xml:space="preserve"> 333.35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/>
              </w:rPr>
              <w:t xml:space="preserve"> и 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</w:rPr>
              <w:t xml:space="preserve">333.39 </w:t>
            </w:r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/>
              </w:rPr>
              <w:t>Кодекса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-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Герои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Советского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Союза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-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Герои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Российской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Федерации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-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полные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кавалеры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ордена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Славы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-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участники и инвалиды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Великой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Отечественной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войны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-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физические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лица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за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выдачу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справок о регистрации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актов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гражданского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состояния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для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представления в уполномоченные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органы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по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вопросам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назначения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либо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перерасчета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 xml:space="preserve">пенсий и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>(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или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)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пособий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,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за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выдачу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извещений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об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отсутствии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записей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актов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гражданского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состояния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для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восстановления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утраченных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записей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актов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гражданского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состояния;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физические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лица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пострадавшие в результате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чрезвычайной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ситуации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за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выдачу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документа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взамен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утраченного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или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пришедшего в негодность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вследствие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такой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  <w:lang w:val="ru-RU"/>
              </w:rPr>
              <w:t>чрезвычайной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 xml:space="preserve"> ситуации.»;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shd w:fill="auto" w:val="clear"/>
              </w:rPr>
            </w:pP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В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случае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если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среди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,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обратившихся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за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совершением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юридически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значимого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действия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,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одно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(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несколько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)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освобождено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(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освобождены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)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от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уплаты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государственной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пошлины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,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размер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государственной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пошлины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уменьшается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пропорционально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количеству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,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освобожденных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от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ее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уплаты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.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При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этом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оставшаяся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часть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суммы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государственной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пошлины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уплачивается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лицом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(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лицами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),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не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освобожденным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(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не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освобожденными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)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от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уплаты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государственной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пошлины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>.</w:t>
            </w:r>
          </w:p>
        </w:tc>
      </w:tr>
      <w:tr>
        <w:trPr>
          <w:trHeight w:val="159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Autospacing="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Административный регламент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</w:rPr>
              <w:t>Приказ Министерства юстиции Российской Федерации от 28 декабря 2018 г. № 307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Федерации»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Контактные данные органа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Руководитель:</w:t>
            </w:r>
            <w:r>
              <w:rPr>
                <w:rFonts w:cs="Arial" w:ascii="Arial" w:hAnsi="Arial"/>
                <w:sz w:val="22"/>
                <w:szCs w:val="22"/>
              </w:rPr>
              <w:t xml:space="preserve"> Сибиряев Евгений Морисович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Почтовый адрес:</w:t>
            </w:r>
            <w:r>
              <w:rPr>
                <w:rFonts w:cs="Arial" w:ascii="Arial" w:hAnsi="Arial"/>
                <w:sz w:val="22"/>
                <w:szCs w:val="22"/>
              </w:rPr>
              <w:t xml:space="preserve"> 640026, Рихарда Зорге ул., д.48, г. Курган,  Курганская область, Российская Федерация</w:t>
              <w:br/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Телефон:</w:t>
            </w:r>
            <w:r>
              <w:rPr>
                <w:rFonts w:cs="Arial" w:ascii="Arial" w:hAnsi="Arial"/>
                <w:sz w:val="22"/>
                <w:szCs w:val="22"/>
              </w:rPr>
              <w:t xml:space="preserve"> (3522) 65-00-73</w:t>
              <w:br/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Электронная почта:</w:t>
            </w:r>
            <w:r>
              <w:rPr>
                <w:rFonts w:cs="Arial" w:ascii="Arial" w:hAnsi="Arial"/>
                <w:sz w:val="22"/>
                <w:szCs w:val="22"/>
              </w:rPr>
              <w:t xml:space="preserve"> zags@kurganobl.ru</w:t>
              <w:br/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График работы:</w:t>
            </w:r>
            <w:r>
              <w:rPr>
                <w:rFonts w:cs="Arial" w:ascii="Arial" w:hAnsi="Arial"/>
                <w:sz w:val="22"/>
                <w:szCs w:val="22"/>
              </w:rPr>
              <w:br/>
              <w:t>понедельник - пятница: с 9.00 до 18.00, обеденный перерыв: с 13.00 до 14.00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2" w:customStyle="1">
    <w:name w:val="Основной шрифт абзаца2"/>
    <w:qFormat/>
    <w:rsid w:val="00310faf"/>
    <w:rPr/>
  </w:style>
  <w:style w:type="character" w:styleId="Strong">
    <w:name w:val="Strong"/>
    <w:uiPriority w:val="22"/>
    <w:qFormat/>
    <w:rsid w:val="00b018b1"/>
    <w:rPr>
      <w:b/>
      <w:bCs/>
    </w:rPr>
  </w:style>
  <w:style w:type="character" w:styleId="1" w:customStyle="1">
    <w:name w:val="Основной шрифт абзаца1"/>
    <w:qFormat/>
    <w:rsid w:val="007b334c"/>
    <w:rPr/>
  </w:style>
  <w:style w:type="character" w:styleId="3" w:customStyle="1">
    <w:name w:val="Основной шрифт абзаца3"/>
    <w:qFormat/>
    <w:rsid w:val="00aa678f"/>
    <w:rPr/>
  </w:style>
  <w:style w:type="character" w:styleId="Style15" w:customStyle="1">
    <w:name w:val="Основной текст Знак"/>
    <w:basedOn w:val="DefaultParagraphFont"/>
    <w:link w:val="a7"/>
    <w:qFormat/>
    <w:rsid w:val="00ea616f"/>
    <w:rPr>
      <w:rFonts w:ascii="Calibri" w:hAnsi="Calibri" w:eastAsia="Lucida Sans Unicode" w:cs="Tahoma"/>
      <w:color w:val="000000"/>
      <w:kern w:val="2"/>
      <w:sz w:val="24"/>
      <w:szCs w:val="24"/>
      <w:lang w:bidi="en-US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a8"/>
    <w:rsid w:val="00ea616f"/>
    <w:pPr>
      <w:widowControl w:val="false"/>
      <w:suppressAutoHyphens w:val="true"/>
      <w:spacing w:lineRule="atLeast" w:line="100" w:before="0" w:after="283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bidi="en-US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9967b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6d753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11" w:customStyle="1">
    <w:name w:val="Обычный1"/>
    <w:qFormat/>
    <w:rsid w:val="00aa678f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ru-RU" w:eastAsia="en-US" w:bidi="en-US"/>
    </w:rPr>
  </w:style>
  <w:style w:type="paragraph" w:styleId="NormalWeb">
    <w:name w:val="Normal (Web)"/>
    <w:basedOn w:val="Normal"/>
    <w:uiPriority w:val="99"/>
    <w:unhideWhenUsed/>
    <w:qFormat/>
    <w:rsid w:val="0052766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12b6d"/>
    <w:pPr>
      <w:spacing w:lineRule="auto" w:line="288"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Calibri" w:hAnsi="Calibri" w:eastAsia="Arial Unicode MS" w:cs="Tahoma" w:asciiTheme="minorHAnsi" w:hAnsiTheme="minorHAnsi"/>
      <w:color w:val="auto"/>
      <w:kern w:val="0"/>
      <w:sz w:val="24"/>
      <w:szCs w:val="24"/>
      <w:lang w:val="ru-RU" w:eastAsia="zh-C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90D8E-8C2A-4B60-AB5D-A488F0B3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LibreOffice/7.0.4.2$Windows_X86_64 LibreOffice_project/dcf040e67528d9187c66b2379df5ea4407429775</Application>
  <AppVersion>15.0000</AppVersion>
  <Pages>3</Pages>
  <Words>789</Words>
  <Characters>5990</Characters>
  <CharactersWithSpaces>6724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2021-08-30T06:26:00Z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2025-05-07T14:46:54Z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