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838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459"/>
        <w:gridCol w:w="13378"/>
      </w:tblGrid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FD6E5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auto"/>
                <w:sz w:val="22"/>
                <w:szCs w:val="22"/>
                <w:shd w:fill="CFD6E5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CFD6E5" w:val="clear"/>
                <w:lang w:eastAsia="ru-RU"/>
              </w:rPr>
              <w:t>Наименование услуги</w:t>
            </w:r>
          </w:p>
        </w:tc>
        <w:tc>
          <w:tcPr>
            <w:tcW w:w="1337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  <w:shd w:fill="auto" w:val="clear"/>
              </w:rPr>
              <w:t>Государственная услуга по государственной регистрации актов гражданского состояния (рождение, заключение брака, расторжение брака, усыновление (удочерение), установление отцовства, перемена имени и смерть), включая выдачу повторных свидетельств (справок), иных документов, подтверждающих наличие или отсутствие факта государственной регистрации акта гражданского состояния, внесение исправлений и (или) изменений в записи актов гражданского состояния, восстановление и аннулирование записей актов гражданского состояния</w:t>
            </w:r>
          </w:p>
        </w:tc>
      </w:tr>
      <w:tr>
        <w:trPr/>
        <w:tc>
          <w:tcPr>
            <w:tcW w:w="2459" w:type="dxa"/>
            <w:tcBorders>
              <w:bottom w:val="single" w:sz="6" w:space="0" w:color="EDEDED"/>
              <w:right w:val="single" w:sz="6" w:space="0" w:color="EDEDED"/>
            </w:tcBorders>
            <w:shd w:fill="CFD6E5" w:val="clear"/>
          </w:tcPr>
          <w:p>
            <w:pPr>
              <w:pStyle w:val="Standard"/>
              <w:widowControl w:val="false"/>
              <w:spacing w:lineRule="auto" w:line="240" w:before="0" w:after="0"/>
              <w:jc w:val="left"/>
              <w:rPr>
                <w:rFonts w:ascii="Arial" w:hAnsi="Arial" w:eastAsia="Times New Roman" w:cs="Arial"/>
                <w:b/>
                <w:b/>
                <w:color w:val="auto"/>
                <w:sz w:val="22"/>
                <w:szCs w:val="22"/>
                <w:shd w:fill="CFD6E5" w:val="clear"/>
                <w:lang w:eastAsia="ru-RU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22"/>
                <w:szCs w:val="22"/>
                <w:shd w:fill="CFD6E5" w:val="clear"/>
                <w:lang w:eastAsia="ru-RU"/>
              </w:rPr>
              <w:t>Наименование «подуслуги»</w:t>
            </w:r>
          </w:p>
        </w:tc>
        <w:tc>
          <w:tcPr>
            <w:tcW w:w="1337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PT Serif" w:cs="Arial" w:ascii="Arial" w:hAnsi="Arial"/>
                <w:b/>
                <w:bCs/>
                <w:color w:val="000000"/>
                <w:sz w:val="22"/>
                <w:szCs w:val="22"/>
                <w:shd w:fill="auto" w:val="clear"/>
              </w:rPr>
              <w:t>Выдача повторного свидетельства о государственной регистрации акта гражданского состояния или иного документа, подтверждающего наличие или отсутствие факта государственной регистрации акта гражданского состояния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FD6E5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2"/>
                <w:szCs w:val="22"/>
                <w:shd w:fill="CFD6E5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CFD6E5" w:val="clear"/>
                <w:lang w:eastAsia="ru-RU"/>
              </w:rPr>
              <w:t>Ответственный орган</w:t>
            </w:r>
          </w:p>
        </w:tc>
        <w:tc>
          <w:tcPr>
            <w:tcW w:w="1337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22"/>
                <w:szCs w:val="22"/>
                <w:shd w:fill="auto" w:val="clear"/>
                <w:lang w:eastAsia="ru-RU"/>
              </w:rPr>
              <w:t>Управление записи актов гражданского состояния Курганской области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FD6E5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2"/>
                <w:szCs w:val="22"/>
                <w:shd w:fill="CFD6E5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CFD6E5" w:val="clear"/>
                <w:lang w:eastAsia="ru-RU"/>
              </w:rPr>
              <w:t>Услуга предоставляется</w:t>
            </w:r>
          </w:p>
        </w:tc>
        <w:tc>
          <w:tcPr>
            <w:tcW w:w="1337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auto" w:val="clear"/>
                <w:lang w:eastAsia="ru-RU"/>
              </w:rPr>
              <w:t>Курганский городской отдел Управления записи актов гражданского состояния Курганской области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auto" w:val="clear"/>
                <w:lang w:eastAsia="ru-RU"/>
              </w:rPr>
              <w:t>Структурные подразделения органом местного самоуправления муниципальных образований Курганской области, наделенные полномочиями на государственную регистрацию актов гражданского состояния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FD6E5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2"/>
                <w:szCs w:val="22"/>
                <w:shd w:fill="CFD6E5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CFD6E5" w:val="clear"/>
                <w:lang w:eastAsia="ru-RU"/>
              </w:rPr>
              <w:t>Получатели услуги</w:t>
            </w:r>
          </w:p>
        </w:tc>
        <w:tc>
          <w:tcPr>
            <w:tcW w:w="1337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hyperlink r:id="rId2" w:tgtFrame="Физические лица">
              <w:r>
                <w:rPr>
                  <w:rFonts w:eastAsia="Times New Roman" w:cs="Arial" w:ascii="Arial" w:hAnsi="Arial"/>
                  <w:sz w:val="22"/>
                  <w:szCs w:val="22"/>
                  <w:shd w:fill="auto" w:val="clear"/>
                  <w:lang w:eastAsia="ru-RU"/>
                </w:rPr>
                <w:t>Физические лица</w:t>
              </w:r>
            </w:hyperlink>
          </w:p>
        </w:tc>
      </w:tr>
      <w:tr>
        <w:trPr/>
        <w:tc>
          <w:tcPr>
            <w:tcW w:w="2459" w:type="dxa"/>
            <w:tcBorders>
              <w:bottom w:val="single" w:sz="6" w:space="0" w:color="EDEDED"/>
              <w:right w:val="single" w:sz="6" w:space="0" w:color="EDEDED"/>
            </w:tcBorders>
            <w:shd w:fill="CFD6E5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2"/>
                <w:szCs w:val="22"/>
                <w:shd w:fill="CFD6E5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CFD6E5" w:val="clear"/>
                <w:lang w:eastAsia="ru-RU"/>
              </w:rPr>
              <w:t>Заявители</w:t>
            </w:r>
          </w:p>
        </w:tc>
        <w:tc>
          <w:tcPr>
            <w:tcW w:w="1337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jc w:val="both"/>
              <w:rPr>
                <w:rFonts w:ascii="Arial" w:hAnsi="Arial" w:cs="Arial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1) граждане Российской Федерации;</w:t>
            </w:r>
          </w:p>
          <w:p>
            <w:pPr>
              <w:pStyle w:val="ConsPlusNormal"/>
              <w:widowControl w:val="false"/>
              <w:jc w:val="both"/>
              <w:rPr>
                <w:rFonts w:ascii="Arial" w:hAnsi="Arial" w:cs="Arial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2) иностранные граждане;</w:t>
            </w:r>
          </w:p>
          <w:p>
            <w:pPr>
              <w:pStyle w:val="ConsPlusNormal"/>
              <w:widowControl w:val="false"/>
              <w:jc w:val="both"/>
              <w:rPr>
                <w:rFonts w:ascii="Arial" w:hAnsi="Arial" w:cs="Arial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3) лица без гражданства.</w:t>
            </w:r>
          </w:p>
        </w:tc>
      </w:tr>
      <w:tr>
        <w:trPr/>
        <w:tc>
          <w:tcPr>
            <w:tcW w:w="2459" w:type="dxa"/>
            <w:tcBorders>
              <w:bottom w:val="single" w:sz="6" w:space="0" w:color="EDEDED"/>
              <w:right w:val="single" w:sz="6" w:space="0" w:color="EDEDED"/>
            </w:tcBorders>
            <w:shd w:fill="CFD6E5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2"/>
                <w:szCs w:val="22"/>
                <w:shd w:fill="FFFF00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22"/>
                <w:szCs w:val="22"/>
                <w:shd w:fill="FFFF00" w:val="clear"/>
                <w:lang w:eastAsia="ru-RU"/>
              </w:rPr>
            </w:r>
          </w:p>
        </w:tc>
        <w:tc>
          <w:tcPr>
            <w:tcW w:w="1337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65" w:leader="none"/>
                <w:tab w:val="left" w:pos="570" w:leader="none"/>
              </w:tabs>
              <w:spacing w:lineRule="auto" w:line="276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Повторное свидетельство о государственной регистрации акта гражданского состояния и иные документы, подтверждающие наличие или отсутствие факта государственной регистрации акта гражданского состояния, выдаются: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65" w:leader="none"/>
                <w:tab w:val="left" w:pos="570" w:leader="none"/>
              </w:tabs>
              <w:spacing w:lineRule="auto" w:line="276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- лицу, в отношении которого была составлена запись акта гражданского состояния;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- родственнику умершего или другому заинтересованному лицу, в случае если лицо, в отношении которого была составлена ранее запись акта гражданского состояния, умерло;</w:t>
            </w:r>
            <w:bookmarkStart w:id="0" w:name="sub_90231"/>
            <w:bookmarkEnd w:id="0"/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- родителям (лицам, их заменяющим), в случае если лицо, в отношении которого была составлена запись акта о рождении, не достигло ко дню выдачи повторного свидетельства совершеннолетия (по достижении ребенком совершеннолетия его родителям (одному из родителей) по их просьбе выдается иной документ, подтверждающий факт государственной регистрации рождения ребенка);</w:t>
            </w:r>
            <w:bookmarkStart w:id="1" w:name="sub_90241"/>
            <w:bookmarkEnd w:id="1"/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- опекунам лиц, признанных недееспособными;</w:t>
            </w:r>
            <w:bookmarkStart w:id="2" w:name="sub_90251"/>
            <w:bookmarkEnd w:id="2"/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eastAsia="Times New Roman" w:cs="Arial" w:ascii="Arial" w:hAnsi="Arial"/>
                <w:sz w:val="22"/>
                <w:szCs w:val="22"/>
                <w:shd w:fill="auto" w:val="clear"/>
                <w:lang w:eastAsia="ru-RU" w:bidi="ar-SA"/>
              </w:rPr>
              <w:t>- иному лицу, в случае представления нотариально удостоверенной доверенности от лица, имеющего право на получение повторного свидетельства о государственной регистрации акта гражданского состояния.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bookmarkStart w:id="3" w:name="sub_130001"/>
            <w:bookmarkEnd w:id="3"/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Повторное свидетельство о государственной регистрации акта гражданского состояния не выдается: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bookmarkStart w:id="4" w:name="sub_1300011"/>
            <w:bookmarkEnd w:id="4"/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- родителям (одному из родителей) ребенка, в отношении которого они лишены родительских прав или ограничены в родительских правах, – свидетельство о рождении ребенка;</w:t>
            </w:r>
            <w:bookmarkStart w:id="5" w:name="sub_130011"/>
            <w:bookmarkEnd w:id="5"/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- лицам, расторгнувшим брак, и лицам, брак которых признан недействительным, – свидетельство о заключении брака.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По просьбе указанных лиц им выдается иной документ, подтверждающий факт государственной регистрации рождения ребенка или заключения брака.</w:t>
            </w:r>
          </w:p>
          <w:p>
            <w:pPr>
              <w:pStyle w:val="Normal"/>
              <w:widowControl w:val="false"/>
              <w:spacing w:lineRule="auto" w:line="276" w:before="0" w:after="0"/>
              <w:ind w:left="0" w:right="0" w:firstLine="283"/>
              <w:jc w:val="both"/>
              <w:rPr>
                <w:rFonts w:ascii="Arial" w:hAnsi="Arial" w:cs="Arial"/>
                <w:sz w:val="22"/>
                <w:szCs w:val="22"/>
                <w:shd w:fill="auto" w:val="clear"/>
              </w:rPr>
            </w:pPr>
            <w:r>
              <w:rPr>
                <w:rFonts w:eastAsia="Times New Roman" w:cs="Arial" w:ascii="Arial" w:hAnsi="Arial"/>
                <w:sz w:val="22"/>
                <w:szCs w:val="22"/>
                <w:shd w:fill="auto" w:val="clear"/>
                <w:lang w:eastAsia="ru-RU" w:bidi="ar-SA"/>
              </w:rPr>
              <w:t>Лицу, не состоящему в браке, по его просьбе может быть выдан документ об отсутствии факта государственной регистрации заключения брака заявителя.</w:t>
            </w:r>
          </w:p>
        </w:tc>
      </w:tr>
      <w:tr>
        <w:trPr>
          <w:trHeight w:val="40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FD6E5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2"/>
                <w:szCs w:val="22"/>
                <w:shd w:fill="CFD6E5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CFD6E5" w:val="clear"/>
                <w:lang w:eastAsia="ru-RU"/>
              </w:rPr>
              <w:t>Обязательные документы</w:t>
            </w:r>
          </w:p>
        </w:tc>
        <w:tc>
          <w:tcPr>
            <w:tcW w:w="1337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Western"/>
              <w:widowControl w:val="false"/>
              <w:spacing w:lineRule="auto" w:line="240" w:beforeAutospacing="0" w:before="0" w:after="0"/>
              <w:ind w:left="0" w:right="0" w:hanging="0"/>
              <w:jc w:val="both"/>
              <w:rPr/>
            </w:pPr>
            <w:r>
              <w:rPr>
                <w:rStyle w:val="Strong"/>
                <w:rFonts w:cs="Arial" w:ascii="Arial" w:hAnsi="Arial"/>
                <w:bCs w:val="false"/>
                <w:iCs/>
                <w:sz w:val="22"/>
                <w:szCs w:val="22"/>
                <w:shd w:fill="auto" w:val="clear"/>
              </w:rPr>
              <w:t xml:space="preserve">Для получения повторного свидетельства (справки) </w:t>
            </w:r>
            <w:r>
              <w:rPr>
                <w:rFonts w:cs="Arial" w:ascii="Arial" w:hAnsi="Arial"/>
                <w:b/>
                <w:iCs/>
                <w:sz w:val="22"/>
                <w:szCs w:val="22"/>
                <w:shd w:fill="auto" w:val="clear"/>
              </w:rPr>
              <w:t>о государственной регистрации акта гражданского состояния</w:t>
            </w:r>
            <w:r>
              <w:rPr>
                <w:rFonts w:cs="Arial" w:ascii="Arial" w:hAnsi="Arial"/>
                <w:iCs/>
                <w:sz w:val="22"/>
                <w:szCs w:val="22"/>
                <w:shd w:fill="auto" w:val="clear"/>
              </w:rPr>
              <w:t xml:space="preserve"> заявитель предоставляет в МФЦ</w:t>
            </w: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: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1) заявление</w:t>
            </w:r>
            <w:bookmarkStart w:id="6" w:name="sub_176"/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 xml:space="preserve"> </w:t>
            </w:r>
            <w:bookmarkEnd w:id="6"/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о выдаче повторного свидетельства о государственной регистрации акта гражданского состояния или иного документа (справки), подтверждающего наличие либо отсутствие факта государственной регистрации акта гражданского состояния;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2) документ, удостоверяющий личность заявителя;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3) документы, подтверждающие право заявителя на получение повторного свидетельства (справки) о государственной регистрации акта гражданского состояния;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  <w:lang w:eastAsia="ru-RU" w:bidi="ar-SA"/>
              </w:rPr>
              <w:t>4</w:t>
            </w:r>
            <w:bookmarkStart w:id="7" w:name="sub_134"/>
            <w:r>
              <w:rPr>
                <w:rFonts w:cs="Arial" w:ascii="Arial" w:hAnsi="Arial"/>
                <w:sz w:val="22"/>
                <w:szCs w:val="22"/>
                <w:shd w:fill="auto" w:val="clear"/>
                <w:lang w:eastAsia="ru-RU" w:bidi="ar-SA"/>
              </w:rPr>
              <w:t>) документ, подтверждающий уплату государственной пошлины за выдачу повторного свидетельства (справки) о государственной регистрации акта гражданского состояния, или документ, являющийся основанием для предоставления налоговых льгот физическим лицам.</w:t>
            </w:r>
            <w:bookmarkEnd w:id="7"/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FD6E5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2"/>
                <w:szCs w:val="22"/>
                <w:shd w:fill="CFD6E5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CFD6E5" w:val="clear"/>
                <w:lang w:eastAsia="ru-RU"/>
              </w:rPr>
              <w:t>Необязательные документы</w:t>
            </w:r>
          </w:p>
        </w:tc>
        <w:tc>
          <w:tcPr>
            <w:tcW w:w="1337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65" w:leader="none"/>
                <w:tab w:val="left" w:pos="570" w:leader="none"/>
                <w:tab w:val="left" w:pos="1020" w:leader="none"/>
              </w:tabs>
              <w:suppressAutoHyphens w:val="true"/>
              <w:spacing w:before="0" w:after="200"/>
              <w:jc w:val="both"/>
              <w:rPr>
                <w:rFonts w:ascii="Arial" w:hAnsi="Arial" w:eastAsia="Times New Roman" w:cs="Arial"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shd w:fill="auto" w:val="clear"/>
                <w:lang w:eastAsia="ru-RU"/>
              </w:rPr>
              <w:t>отсутствуют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FD6E5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2"/>
                <w:szCs w:val="22"/>
                <w:shd w:fill="CFD6E5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CFD6E5" w:val="clear"/>
                <w:lang w:eastAsia="ru-RU"/>
              </w:rPr>
              <w:t>Результат</w:t>
            </w:r>
          </w:p>
        </w:tc>
        <w:tc>
          <w:tcPr>
            <w:tcW w:w="1337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3"/>
                <w:rFonts w:eastAsia="Arial" w:cs="Arial" w:ascii="Arial" w:hAnsi="Arial"/>
                <w:sz w:val="22"/>
                <w:szCs w:val="22"/>
                <w:shd w:fill="auto" w:val="clear"/>
              </w:rPr>
              <w:t>Результатом предоставления государственной услуги является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3"/>
                <w:rFonts w:cs="Arial" w:ascii="Arial" w:hAnsi="Arial"/>
                <w:sz w:val="22"/>
                <w:szCs w:val="22"/>
                <w:shd w:fill="auto" w:val="clear"/>
              </w:rPr>
              <w:t>1</w:t>
            </w:r>
            <w:r>
              <w:rPr>
                <w:rStyle w:val="3"/>
                <w:rFonts w:eastAsia="Arial" w:cs="Arial" w:ascii="Arial" w:hAnsi="Arial"/>
                <w:sz w:val="22"/>
                <w:szCs w:val="22"/>
                <w:shd w:fill="auto" w:val="clear"/>
              </w:rPr>
              <w:t>)</w:t>
            </w:r>
            <w:r>
              <w:rPr>
                <w:rStyle w:val="3"/>
                <w:rFonts w:cs="Arial" w:ascii="Arial" w:hAnsi="Arial"/>
                <w:sz w:val="22"/>
                <w:szCs w:val="22"/>
                <w:shd w:fill="auto" w:val="clear"/>
              </w:rPr>
              <w:t xml:space="preserve"> повторное свидетельство (справка) о государственной регистрации акта гражданского состояния;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3"/>
                <w:rFonts w:eastAsia="Arial" w:cs="Arial" w:ascii="Arial" w:hAnsi="Arial"/>
                <w:kern w:val="2"/>
                <w:sz w:val="22"/>
                <w:szCs w:val="22"/>
                <w:shd w:fill="auto" w:val="clear"/>
                <w:lang w:eastAsia="ar-SA"/>
              </w:rPr>
              <w:t>2) извещение об отсутствии записи акта гражданского состояния;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FD6E5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2"/>
                <w:szCs w:val="22"/>
                <w:shd w:fill="CFD6E5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CFD6E5" w:val="clear"/>
                <w:lang w:eastAsia="ru-RU"/>
              </w:rPr>
              <w:t>Срок предоставления услуги</w:t>
            </w:r>
          </w:p>
        </w:tc>
        <w:tc>
          <w:tcPr>
            <w:tcW w:w="1337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65" w:leader="none"/>
                <w:tab w:val="left" w:pos="570" w:leader="none"/>
              </w:tabs>
              <w:spacing w:lineRule="auto" w:line="240" w:before="0" w:after="0"/>
              <w:jc w:val="both"/>
              <w:rPr>
                <w:rFonts w:ascii="Arial" w:hAnsi="Arial" w:cs="Arial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sz w:val="22"/>
                <w:szCs w:val="22"/>
                <w:shd w:fill="auto" w:val="clear"/>
              </w:rPr>
              <w:t>в течении 2 рабочих дней со дня поступления документов из МФЦ, Орган принимает решение о предоставлении либо отказе в предоставлении государственной услуги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FD6E5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2"/>
                <w:szCs w:val="22"/>
                <w:shd w:fill="CFD6E5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CFD6E5" w:val="clear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337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pacing w:lineRule="atLeast" w:line="100" w:before="0" w:after="200"/>
              <w:jc w:val="both"/>
              <w:rPr/>
            </w:pPr>
            <w:r>
              <w:rPr>
                <w:rStyle w:val="1"/>
                <w:rFonts w:eastAsia="Arial" w:cs="Arial" w:ascii="Arial" w:hAnsi="Arial"/>
                <w:sz w:val="22"/>
                <w:szCs w:val="22"/>
                <w:shd w:fill="auto" w:val="clear"/>
              </w:rPr>
              <w:t>Основания для отказа в приеме заявления и документов, необходимых для предоставления государственной услуги, отсутствуют.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FD6E5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2"/>
                <w:szCs w:val="22"/>
                <w:shd w:fill="CFD6E5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CFD6E5" w:val="clear"/>
                <w:lang w:eastAsia="ru-RU"/>
              </w:rPr>
              <w:t>Стоимость</w:t>
            </w:r>
          </w:p>
        </w:tc>
        <w:tc>
          <w:tcPr>
            <w:tcW w:w="1337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В соответствии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  <w:lang w:val="ru-RU"/>
              </w:rPr>
              <w:t>со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  <w:lang w:val="ru-RU"/>
              </w:rPr>
              <w:t>ст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 xml:space="preserve">. 333.26 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Кодекса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государственная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пошлина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  <w:lang w:val="ru-RU"/>
              </w:rPr>
              <w:t>уплачивается в следующих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  <w:lang w:val="ru-RU"/>
              </w:rPr>
              <w:t>размерах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>: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 xml:space="preserve">- 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за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выдачу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повторного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  <w:lang w:val="ru-RU"/>
              </w:rPr>
              <w:t>свидетельства о государственной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  <w:lang w:val="ru-RU"/>
              </w:rPr>
              <w:t>регистрации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акта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гражданского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  <w:lang w:val="ru-RU"/>
              </w:rPr>
              <w:t>состояния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 xml:space="preserve"> – 500 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  <w:lang w:val="ru-RU"/>
              </w:rPr>
              <w:t>рублей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>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 xml:space="preserve">- 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за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выдачу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  <w:lang w:val="ru-RU"/>
              </w:rPr>
              <w:t>физическим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лицам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  <w:lang w:val="ru-RU"/>
              </w:rPr>
              <w:t>справок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из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архивов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органов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записи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актов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гражданского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  <w:lang w:val="ru-RU"/>
              </w:rPr>
              <w:t>состояния и иных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  <w:lang w:val="ru-RU"/>
              </w:rPr>
              <w:t>уполномоченных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органов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 xml:space="preserve"> – 350 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  <w:lang w:val="ru-RU"/>
              </w:rPr>
              <w:t>рублей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>.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/>
              </w:rPr>
              <w:t>Государственную</w:t>
            </w:r>
            <w:r>
              <w:rPr>
                <w:rFonts w:cs="Arial" w:ascii="Arial" w:hAnsi="Arial"/>
                <w:b w:val="false"/>
                <w:color w:val="000000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/>
              </w:rPr>
              <w:t>пошлину</w:t>
            </w:r>
            <w:r>
              <w:rPr>
                <w:rFonts w:cs="Arial" w:ascii="Arial" w:hAnsi="Arial"/>
                <w:b w:val="false"/>
                <w:color w:val="000000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/>
              </w:rPr>
              <w:t>не</w:t>
            </w:r>
            <w:r>
              <w:rPr>
                <w:rFonts w:cs="Arial" w:ascii="Arial" w:hAnsi="Arial"/>
                <w:b w:val="false"/>
                <w:color w:val="000000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/>
              </w:rPr>
              <w:t>уплачивают</w:t>
            </w:r>
            <w:r>
              <w:rPr>
                <w:rFonts w:cs="Arial" w:ascii="Arial" w:hAnsi="Arial"/>
                <w:b w:val="false"/>
                <w:color w:val="000000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/>
              </w:rPr>
              <w:t>лица в случаях</w:t>
            </w:r>
            <w:r>
              <w:rPr>
                <w:rFonts w:cs="Arial" w:ascii="Arial" w:hAnsi="Arial"/>
                <w:b w:val="false"/>
                <w:color w:val="000000"/>
                <w:sz w:val="22"/>
                <w:szCs w:val="22"/>
                <w:shd w:fill="auto" w:val="clear"/>
              </w:rPr>
              <w:t xml:space="preserve">, </w:t>
            </w:r>
            <w:r>
              <w:rPr>
                <w:rFonts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/>
              </w:rPr>
              <w:t>установленных</w:t>
            </w:r>
            <w:r>
              <w:rPr>
                <w:rFonts w:cs="Arial" w:ascii="Arial" w:hAnsi="Arial"/>
                <w:b w:val="false"/>
                <w:color w:val="000000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/>
              </w:rPr>
              <w:t>статьями</w:t>
            </w:r>
            <w:r>
              <w:rPr>
                <w:rFonts w:cs="Arial" w:ascii="Arial" w:hAnsi="Arial"/>
                <w:b w:val="false"/>
                <w:color w:val="000000"/>
                <w:sz w:val="22"/>
                <w:szCs w:val="22"/>
                <w:shd w:fill="auto" w:val="clear"/>
              </w:rPr>
              <w:t xml:space="preserve"> 333.35</w:t>
            </w:r>
            <w:r>
              <w:rPr>
                <w:rFonts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/>
              </w:rPr>
              <w:t xml:space="preserve"> и </w:t>
            </w:r>
            <w:r>
              <w:rPr>
                <w:rFonts w:cs="Arial" w:ascii="Arial" w:hAnsi="Arial"/>
                <w:b w:val="false"/>
                <w:color w:val="000000"/>
                <w:sz w:val="22"/>
                <w:szCs w:val="22"/>
                <w:shd w:fill="auto" w:val="clear"/>
              </w:rPr>
              <w:t xml:space="preserve">333.39 </w:t>
            </w:r>
            <w:r>
              <w:rPr>
                <w:rFonts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/>
              </w:rPr>
              <w:t>Кодекса</w:t>
            </w:r>
            <w:r>
              <w:rPr>
                <w:rFonts w:cs="Arial" w:ascii="Arial" w:hAnsi="Arial"/>
                <w:b w:val="false"/>
                <w:sz w:val="22"/>
                <w:szCs w:val="22"/>
                <w:shd w:fill="auto" w:val="clear"/>
              </w:rPr>
              <w:t>: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-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Герои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Советского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Союза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>,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-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Герои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Российской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Федерации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>,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-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полные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кавалеры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ордена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Славы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>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-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участники и инвалиды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Великой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Отечественной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войны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>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-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физические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лица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за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выдачу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справок о регистрации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актов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гражданского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состояния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для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представления в уполномоченные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органы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по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вопросам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назначения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либо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перерасчета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 xml:space="preserve">пенсий и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>(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или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)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пособий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,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за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выдачу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извещений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об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отсутствии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записей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актов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гражданского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состояния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для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восстановления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утраченных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записей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актов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гражданского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sz w:val="22"/>
                <w:szCs w:val="22"/>
                <w:shd w:fill="auto" w:val="clear"/>
                <w:lang w:val="ru-RU"/>
              </w:rPr>
              <w:t>состояния;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eastAsia="Arial" w:cs="Arial"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  <w:shd w:fill="auto" w:val="clear"/>
                <w:lang w:val="ru-RU"/>
              </w:rPr>
              <w:t xml:space="preserve">-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  <w:shd w:fill="auto" w:val="clear"/>
                <w:lang w:val="ru-RU"/>
              </w:rPr>
              <w:t>физические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  <w:shd w:fill="auto" w:val="clear"/>
                <w:lang w:val="ru-RU"/>
              </w:rPr>
              <w:t>лица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  <w:shd w:fill="auto" w:val="clear"/>
              </w:rPr>
              <w:t xml:space="preserve">,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  <w:shd w:fill="auto" w:val="clear"/>
                <w:lang w:val="ru-RU"/>
              </w:rPr>
              <w:t>пострадавшие в результате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  <w:shd w:fill="auto" w:val="clear"/>
                <w:lang w:val="ru-RU"/>
              </w:rPr>
              <w:t>чрезвычайной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  <w:shd w:fill="auto" w:val="clear"/>
                <w:lang w:val="ru-RU"/>
              </w:rPr>
              <w:t>ситуации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  <w:shd w:fill="auto" w:val="clear"/>
              </w:rPr>
              <w:t xml:space="preserve">,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  <w:shd w:fill="auto" w:val="clear"/>
                <w:lang w:val="ru-RU"/>
              </w:rPr>
              <w:t>за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  <w:shd w:fill="auto" w:val="clear"/>
                <w:lang w:val="ru-RU"/>
              </w:rPr>
              <w:t>выдачу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  <w:shd w:fill="auto" w:val="clear"/>
                <w:lang w:val="ru-RU"/>
              </w:rPr>
              <w:t>документа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  <w:shd w:fill="auto" w:val="clear"/>
                <w:lang w:val="ru-RU"/>
              </w:rPr>
              <w:t>взамен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  <w:shd w:fill="auto" w:val="clear"/>
                <w:lang w:val="ru-RU"/>
              </w:rPr>
              <w:t>утраченного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  <w:shd w:fill="auto" w:val="clear"/>
                <w:lang w:val="ru-RU"/>
              </w:rPr>
              <w:t>или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  <w:shd w:fill="auto" w:val="clear"/>
                <w:lang w:val="ru-RU"/>
              </w:rPr>
              <w:t>пришедшего в негодность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  <w:shd w:fill="auto" w:val="clear"/>
                <w:lang w:val="ru-RU"/>
              </w:rPr>
              <w:t>вследствие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  <w:shd w:fill="auto" w:val="clear"/>
                <w:lang w:val="ru-RU"/>
              </w:rPr>
              <w:t>такой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  <w:shd w:fill="auto" w:val="clear"/>
              </w:rPr>
              <w:t xml:space="preserve">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  <w:shd w:fill="auto" w:val="clear"/>
                <w:lang w:val="ru-RU"/>
              </w:rPr>
              <w:t>чрезвычайной</w:t>
            </w:r>
            <w:r>
              <w:rPr>
                <w:rFonts w:eastAsia="Arial" w:cs="Arial" w:ascii="Arial" w:hAnsi="Arial"/>
                <w:b w:val="false"/>
                <w:sz w:val="22"/>
                <w:szCs w:val="22"/>
                <w:shd w:fill="auto" w:val="clear"/>
                <w:lang w:val="ru-RU"/>
              </w:rPr>
              <w:t xml:space="preserve"> ситуации.»;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283"/>
              <w:jc w:val="both"/>
              <w:rPr>
                <w:rFonts w:ascii="Arial" w:hAnsi="Arial"/>
                <w:sz w:val="22"/>
                <w:szCs w:val="22"/>
                <w:shd w:fill="auto" w:val="clear"/>
              </w:rPr>
            </w:pPr>
            <w:r>
              <w:rPr>
                <w:rFonts w:eastAsia="Arial" w:cs="Arial" w:ascii="Arial" w:hAnsi="Arial"/>
                <w:b w:val="false"/>
                <w:color w:val="000000"/>
                <w:sz w:val="22"/>
                <w:szCs w:val="22"/>
                <w:lang w:val="ru-RU"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283"/>
              <w:jc w:val="both"/>
              <w:rPr>
                <w:shd w:fill="auto" w:val="clear"/>
              </w:rPr>
            </w:pP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В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случае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если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среди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лиц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,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обратившихся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за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совершением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юридически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значимого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действия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,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одно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лицо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(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несколько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лиц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)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освобождено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(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освобождены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)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от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уплаты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государственной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пошлины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,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размер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государственной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пошлины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уменьшается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пропорционально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количеству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лиц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,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освобожденных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от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ее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уплаты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.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При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этом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оставшаяся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часть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суммы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государственной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пошлины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уплачивается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лицом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(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лицами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),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не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освобожденным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(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не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освобожденными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)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от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уплаты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государственной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 xml:space="preserve"> 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val="ru-RU" w:eastAsia="ru-RU"/>
              </w:rPr>
              <w:t>пошлины</w:t>
            </w:r>
            <w:r>
              <w:rPr>
                <w:rStyle w:val="3"/>
                <w:rFonts w:eastAsia="Arial" w:cs="Arial" w:ascii="Arial" w:hAnsi="Arial"/>
                <w:b w:val="false"/>
                <w:color w:val="000000"/>
                <w:sz w:val="22"/>
                <w:szCs w:val="22"/>
                <w:shd w:fill="auto" w:val="clear"/>
                <w:lang w:eastAsia="ru-RU"/>
              </w:rPr>
              <w:t>.</w:t>
            </w:r>
          </w:p>
        </w:tc>
      </w:tr>
      <w:tr>
        <w:trPr>
          <w:trHeight w:val="1593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FD6E5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2"/>
                <w:szCs w:val="22"/>
                <w:shd w:fill="CFD6E5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CFD6E5" w:val="clear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337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Western"/>
              <w:widowControl w:val="false"/>
              <w:spacing w:lineRule="auto" w:line="240" w:beforeAutospacing="0" w:before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FD6E5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2"/>
                <w:szCs w:val="22"/>
                <w:shd w:fill="CFD6E5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CFD6E5" w:val="clear"/>
                <w:lang w:eastAsia="ru-RU"/>
              </w:rPr>
              <w:t>Административный регламент</w:t>
            </w:r>
          </w:p>
        </w:tc>
        <w:tc>
          <w:tcPr>
            <w:tcW w:w="1337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Title"/>
              <w:widowControl w:val="false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sz w:val="22"/>
                <w:szCs w:val="22"/>
              </w:rPr>
              <w:t>Приказ Министерства юстиции Российской Федерации от 28 декабря 2018 г. № 307 «Об утверждении Административного регламента предоставления государственной услуги по государственной регистрации актов гражданского состояния органами, осуществляющими государственную регистрацию актов гражданского состояния на территории Российской Федерации»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FD6E5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2"/>
                <w:szCs w:val="22"/>
                <w:shd w:fill="CFD6E5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CFD6E5" w:val="clear"/>
                <w:lang w:eastAsia="ru-RU"/>
              </w:rPr>
              <w:t>Контактные данные органа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 w:themeShade="80"/>
                <w:sz w:val="22"/>
                <w:szCs w:val="22"/>
                <w:shd w:fill="CFD6E5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 w:themeShade="80"/>
                <w:sz w:val="22"/>
                <w:szCs w:val="22"/>
                <w:shd w:fill="CFD6E5" w:val="clear"/>
                <w:lang w:eastAsia="ru-RU"/>
              </w:rPr>
            </w:r>
          </w:p>
        </w:tc>
        <w:tc>
          <w:tcPr>
            <w:tcW w:w="1337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Web"/>
              <w:widowControl w:val="false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Руководитель:</w:t>
            </w:r>
            <w:r>
              <w:rPr>
                <w:rFonts w:cs="Arial" w:ascii="Arial" w:hAnsi="Arial"/>
                <w:sz w:val="22"/>
                <w:szCs w:val="22"/>
              </w:rPr>
              <w:t xml:space="preserve"> Сибиряев Евгений Морисович</w:t>
            </w:r>
          </w:p>
          <w:p>
            <w:pPr>
              <w:pStyle w:val="NormalWeb"/>
              <w:widowControl w:val="false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Почтовый адрес:</w:t>
            </w:r>
            <w:r>
              <w:rPr>
                <w:rFonts w:cs="Arial" w:ascii="Arial" w:hAnsi="Arial"/>
                <w:sz w:val="22"/>
                <w:szCs w:val="22"/>
              </w:rPr>
              <w:t xml:space="preserve"> 640026, Рихарда Зорге ул., д.48, г. Курган,  Курганская область, Российская Федерация</w:t>
              <w:br/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Телефон:</w:t>
            </w:r>
            <w:r>
              <w:rPr>
                <w:rFonts w:cs="Arial" w:ascii="Arial" w:hAnsi="Arial"/>
                <w:sz w:val="22"/>
                <w:szCs w:val="22"/>
              </w:rPr>
              <w:t xml:space="preserve"> (3522) 65-00-73</w:t>
              <w:br/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Электронная почта:</w:t>
            </w:r>
            <w:r>
              <w:rPr>
                <w:rFonts w:cs="Arial" w:ascii="Arial" w:hAnsi="Arial"/>
                <w:sz w:val="22"/>
                <w:szCs w:val="22"/>
              </w:rPr>
              <w:t xml:space="preserve"> zags@kurganobl.ru</w:t>
              <w:br/>
            </w:r>
            <w:r>
              <w:rPr>
                <w:rFonts w:cs="Arial" w:ascii="Arial" w:hAnsi="Arial"/>
                <w:b/>
                <w:bCs/>
                <w:sz w:val="22"/>
                <w:szCs w:val="22"/>
              </w:rPr>
              <w:t>График работы:</w:t>
            </w:r>
            <w:r>
              <w:rPr>
                <w:rFonts w:cs="Arial" w:ascii="Arial" w:hAnsi="Arial"/>
                <w:sz w:val="22"/>
                <w:szCs w:val="22"/>
              </w:rPr>
              <w:br/>
              <w:t>понедельник - пятница: с 9.00 до 18.00, обеденный перерыв: с 13.00 до 14.00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2" w:customStyle="1">
    <w:name w:val="Основной шрифт абзаца2"/>
    <w:qFormat/>
    <w:rsid w:val="00310faf"/>
    <w:rPr/>
  </w:style>
  <w:style w:type="character" w:styleId="Strong">
    <w:name w:val="Strong"/>
    <w:uiPriority w:val="22"/>
    <w:qFormat/>
    <w:rsid w:val="00b018b1"/>
    <w:rPr>
      <w:b/>
      <w:bCs/>
    </w:rPr>
  </w:style>
  <w:style w:type="character" w:styleId="1" w:customStyle="1">
    <w:name w:val="Основной шрифт абзаца1"/>
    <w:qFormat/>
    <w:rsid w:val="007b334c"/>
    <w:rPr/>
  </w:style>
  <w:style w:type="character" w:styleId="3" w:customStyle="1">
    <w:name w:val="Основной шрифт абзаца3"/>
    <w:qFormat/>
    <w:rsid w:val="00aa678f"/>
    <w:rPr/>
  </w:style>
  <w:style w:type="character" w:styleId="Style15" w:customStyle="1">
    <w:name w:val="Основной текст Знак"/>
    <w:basedOn w:val="DefaultParagraphFont"/>
    <w:link w:val="a7"/>
    <w:qFormat/>
    <w:rsid w:val="00ea616f"/>
    <w:rPr>
      <w:rFonts w:ascii="Calibri" w:hAnsi="Calibri" w:eastAsia="Lucida Sans Unicode" w:cs="Tahoma"/>
      <w:color w:val="000000"/>
      <w:kern w:val="2"/>
      <w:sz w:val="24"/>
      <w:szCs w:val="24"/>
      <w:lang w:bidi="en-US"/>
    </w:rPr>
  </w:style>
  <w:style w:type="character" w:styleId="Style16">
    <w:name w:val="Интернет-ссылка"/>
    <w:rPr>
      <w:color w:val="000080"/>
      <w:u w:val="single"/>
      <w:lang w:val="zxx" w:eastAsia="zxx" w:bidi="zxx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link w:val="a8"/>
    <w:rsid w:val="00ea616f"/>
    <w:pPr>
      <w:widowControl w:val="false"/>
      <w:suppressAutoHyphens w:val="true"/>
      <w:spacing w:lineRule="atLeast" w:line="100" w:before="0" w:after="283"/>
      <w:textAlignment w:val="baseline"/>
    </w:pPr>
    <w:rPr>
      <w:rFonts w:ascii="Calibri" w:hAnsi="Calibri" w:eastAsia="Lucida Sans Unicode" w:cs="Tahoma"/>
      <w:color w:val="000000"/>
      <w:kern w:val="2"/>
      <w:sz w:val="24"/>
      <w:szCs w:val="24"/>
      <w:lang w:bidi="en-US"/>
    </w:rPr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9967b8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6d753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11" w:customStyle="1">
    <w:name w:val="Обычный1"/>
    <w:qFormat/>
    <w:rsid w:val="00aa678f"/>
    <w:pPr>
      <w:widowControl w:val="false"/>
      <w:suppressAutoHyphens w:val="true"/>
      <w:bidi w:val="0"/>
      <w:spacing w:lineRule="atLeast" w:line="100" w:before="0" w:after="0"/>
      <w:jc w:val="left"/>
      <w:textAlignment w:val="baseline"/>
    </w:pPr>
    <w:rPr>
      <w:rFonts w:ascii="Calibri" w:hAnsi="Calibri" w:eastAsia="Lucida Sans Unicode" w:cs="Tahoma"/>
      <w:color w:val="000000"/>
      <w:kern w:val="2"/>
      <w:sz w:val="24"/>
      <w:szCs w:val="24"/>
      <w:lang w:val="ru-RU" w:eastAsia="en-US" w:bidi="en-US"/>
    </w:rPr>
  </w:style>
  <w:style w:type="paragraph" w:styleId="NormalWeb">
    <w:name w:val="Normal (Web)"/>
    <w:basedOn w:val="Normal"/>
    <w:uiPriority w:val="99"/>
    <w:unhideWhenUsed/>
    <w:qFormat/>
    <w:rsid w:val="0052766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612b6d"/>
    <w:pPr>
      <w:spacing w:lineRule="auto" w:line="288" w:beforeAutospacing="1" w:after="142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Standard">
    <w:name w:val="Standard"/>
    <w:qFormat/>
    <w:pPr>
      <w:widowControl w:val="false"/>
      <w:suppressAutoHyphens w:val="true"/>
      <w:bidi w:val="0"/>
      <w:spacing w:lineRule="auto" w:line="276" w:before="0" w:after="0"/>
      <w:jc w:val="left"/>
    </w:pPr>
    <w:rPr>
      <w:rFonts w:ascii="Calibri" w:hAnsi="Calibri" w:eastAsia="Arial Unicode MS" w:cs="Tahoma" w:asciiTheme="minorHAnsi" w:hAnsiTheme="minorHAnsi"/>
      <w:color w:val="auto"/>
      <w:kern w:val="0"/>
      <w:sz w:val="24"/>
      <w:szCs w:val="24"/>
      <w:lang w:val="ru-RU" w:eastAsia="zh-CN" w:bidi="ar-SA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kurgan-city.ru/gosserv/for/488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90D8E-8C2A-4B60-AB5D-A488F0B3C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Application>LibreOffice/7.0.4.2$Windows_X86_64 LibreOffice_project/dcf040e67528d9187c66b2379df5ea4407429775</Application>
  <AppVersion>15.0000</AppVersion>
  <Pages>3</Pages>
  <Words>789</Words>
  <Characters>5990</Characters>
  <CharactersWithSpaces>6724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2021-08-30T06:26:00Z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2025-05-07T14:46:54Z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