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B4D48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B4D48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05435" w:rsidRDefault="00833346" w:rsidP="00FB4D48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2"/>
              </w:rPr>
              <w:t>Н</w:t>
            </w:r>
            <w:r w:rsidRPr="00833346">
              <w:rPr>
                <w:rFonts w:ascii="Arial" w:hAnsi="Arial" w:cs="Arial"/>
                <w:b/>
                <w:color w:val="000000"/>
                <w:szCs w:val="22"/>
              </w:rPr>
              <w:t>аправление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территорий поселений, входящих в</w:t>
            </w:r>
            <w:proofErr w:type="gramEnd"/>
            <w:r w:rsidRPr="00833346">
              <w:rPr>
                <w:rFonts w:ascii="Arial" w:hAnsi="Arial" w:cs="Arial"/>
                <w:b/>
                <w:color w:val="000000"/>
                <w:szCs w:val="22"/>
              </w:rPr>
              <w:t xml:space="preserve"> состав Администрации </w:t>
            </w:r>
            <w:proofErr w:type="spellStart"/>
            <w:r w:rsidRPr="00833346">
              <w:rPr>
                <w:rFonts w:ascii="Arial" w:hAnsi="Arial" w:cs="Arial"/>
                <w:b/>
                <w:color w:val="000000"/>
                <w:szCs w:val="22"/>
              </w:rPr>
              <w:t>Варгашинского</w:t>
            </w:r>
            <w:proofErr w:type="spellEnd"/>
            <w:r w:rsidRPr="00833346">
              <w:rPr>
                <w:rFonts w:ascii="Arial" w:hAnsi="Arial" w:cs="Arial"/>
                <w:b/>
                <w:color w:val="000000"/>
                <w:szCs w:val="22"/>
              </w:rPr>
              <w:t xml:space="preserve"> поссовета.</w:t>
            </w:r>
          </w:p>
        </w:tc>
      </w:tr>
      <w:tr w:rsidR="00FB4D48" w:rsidRPr="00236378" w:rsidTr="004F5A4F">
        <w:trPr>
          <w:trHeight w:val="83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E12C51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5A4F" w:rsidRPr="00D83CCC" w:rsidRDefault="00FB4D48" w:rsidP="00877C33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Варгашинского</w:t>
            </w:r>
            <w:proofErr w:type="spellEnd"/>
            <w:r w:rsidR="006460C6">
              <w:rPr>
                <w:rFonts w:ascii="Arial" w:hAnsi="Arial" w:cs="Arial"/>
                <w:color w:val="000000"/>
                <w:szCs w:val="22"/>
              </w:rPr>
              <w:t xml:space="preserve"> поссовета</w:t>
            </w:r>
          </w:p>
        </w:tc>
      </w:tr>
      <w:tr w:rsidR="00FB4D48" w:rsidRPr="00236378" w:rsidTr="00FB4D48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60C6" w:rsidRDefault="006460C6" w:rsidP="00536060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Физические и юридические лица.</w:t>
            </w:r>
          </w:p>
          <w:p w:rsidR="00FB4D48" w:rsidRPr="006460C6" w:rsidRDefault="00536060" w:rsidP="00536060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</w:rPr>
            </w:pPr>
            <w:r w:rsidRPr="00536060">
              <w:rPr>
                <w:rFonts w:ascii="Arial" w:eastAsia="Times New Roman" w:hAnsi="Arial" w:cs="Arial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FB4D48" w:rsidRPr="00236378" w:rsidTr="00FB4D48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945C8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Варгашинского</w:t>
            </w:r>
            <w:proofErr w:type="spellEnd"/>
            <w:r w:rsidRPr="00D83CCC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6460C6" w:rsidRPr="006460C6">
              <w:rPr>
                <w:rFonts w:ascii="Arial" w:hAnsi="Arial" w:cs="Arial"/>
                <w:color w:val="000000"/>
                <w:szCs w:val="22"/>
              </w:rPr>
              <w:t>поссовета</w:t>
            </w:r>
            <w:r w:rsidRPr="00D83CCC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3346" w:rsidRDefault="00833346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833346">
              <w:rPr>
                <w:rFonts w:ascii="Arial" w:hAnsi="Arial" w:cs="Arial"/>
                <w:szCs w:val="22"/>
              </w:rPr>
              <w:t>Заявителями на получение 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являются физические или юридические лица, обеспечивающие на принадлежащих им земельных участках строительство, реконструкцию объекта</w:t>
            </w:r>
            <w:proofErr w:type="gramEnd"/>
            <w:r w:rsidRPr="00833346">
              <w:rPr>
                <w:rFonts w:ascii="Arial" w:hAnsi="Arial" w:cs="Arial"/>
                <w:szCs w:val="22"/>
              </w:rPr>
              <w:t xml:space="preserve"> индивидуального жилищного строительства или садового дома</w:t>
            </w:r>
          </w:p>
          <w:p w:rsidR="00FB4D48" w:rsidRPr="00D83CCC" w:rsidRDefault="00FB4D48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3346" w:rsidRDefault="00833346" w:rsidP="0083334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33346">
              <w:rPr>
                <w:rFonts w:ascii="Arial" w:hAnsi="Arial" w:cs="Arial"/>
                <w:color w:val="000000"/>
              </w:rPr>
              <w:t xml:space="preserve">уведомление о </w:t>
            </w:r>
            <w:proofErr w:type="gramStart"/>
            <w:r w:rsidRPr="00833346">
              <w:rPr>
                <w:rFonts w:ascii="Arial" w:hAnsi="Arial" w:cs="Arial"/>
                <w:color w:val="000000"/>
              </w:rPr>
              <w:t>планируемых</w:t>
            </w:r>
            <w:proofErr w:type="gramEnd"/>
            <w:r w:rsidRPr="00833346">
              <w:rPr>
                <w:rFonts w:ascii="Arial" w:hAnsi="Arial" w:cs="Arial"/>
                <w:color w:val="000000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833346" w:rsidRPr="00833346" w:rsidRDefault="00833346" w:rsidP="0083334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33346">
              <w:rPr>
                <w:rFonts w:ascii="Arial" w:hAnsi="Arial" w:cs="Arial"/>
                <w:color w:val="000000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833346" w:rsidRPr="00833346" w:rsidRDefault="00833346" w:rsidP="0083334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33346">
              <w:rPr>
                <w:rFonts w:ascii="Arial" w:hAnsi="Arial" w:cs="Arial"/>
                <w:color w:val="000000"/>
              </w:rPr>
              <w:t xml:space="preserve">документ, подтверждающий полномочия представителя заявителя, в случае, если уведомление о планируемом </w:t>
            </w:r>
            <w:r w:rsidRPr="00833346">
              <w:rPr>
                <w:rFonts w:ascii="Arial" w:hAnsi="Arial" w:cs="Arial"/>
                <w:color w:val="000000"/>
              </w:rPr>
              <w:lastRenderedPageBreak/>
              <w:t>строительстве направлено представителем заявителя;</w:t>
            </w:r>
          </w:p>
          <w:p w:rsidR="00833346" w:rsidRPr="00D83CCC" w:rsidRDefault="00833346" w:rsidP="0083334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833346">
              <w:rPr>
                <w:rFonts w:ascii="Arial" w:hAnsi="Arial" w:cs="Arial"/>
                <w:color w:val="000000"/>
              </w:rPr>
              <w:t xml:space="preserve">заверенный перевод </w:t>
            </w:r>
            <w:proofErr w:type="gramStart"/>
            <w:r w:rsidRPr="00833346">
              <w:rPr>
                <w:rFonts w:ascii="Arial" w:hAnsi="Arial" w:cs="Arial"/>
                <w:color w:val="00000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33346">
              <w:rPr>
                <w:rFonts w:ascii="Arial" w:hAnsi="Arial" w:cs="Arial"/>
                <w:color w:val="000000"/>
              </w:rPr>
              <w:t>, если заявителем является иностранное юридическое лицо</w:t>
            </w:r>
          </w:p>
          <w:p w:rsidR="00FB4D48" w:rsidRPr="00D83CCC" w:rsidRDefault="00FB4D48" w:rsidP="00E060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E017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1" w:name="P142"/>
            <w:bookmarkEnd w:id="1"/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3346" w:rsidRPr="00833346" w:rsidRDefault="00833346" w:rsidP="00833346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833346">
              <w:rPr>
                <w:rFonts w:ascii="Arial" w:hAnsi="Arial" w:cs="Arial"/>
                <w:color w:val="000000"/>
                <w:szCs w:val="22"/>
              </w:rPr>
              <w:t>1)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      </w:r>
            <w:proofErr w:type="gramEnd"/>
          </w:p>
          <w:p w:rsidR="00833346" w:rsidRPr="00833346" w:rsidRDefault="00833346" w:rsidP="00833346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833346">
              <w:rPr>
                <w:rFonts w:ascii="Arial" w:hAnsi="Arial" w:cs="Arial"/>
                <w:color w:val="000000"/>
                <w:szCs w:val="22"/>
              </w:rPr>
              <w:t>2)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несоответствии);</w:t>
            </w:r>
            <w:proofErr w:type="gramEnd"/>
          </w:p>
          <w:p w:rsidR="00FB4D48" w:rsidRPr="00D83CCC" w:rsidRDefault="00833346" w:rsidP="00833346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833346">
              <w:rPr>
                <w:rFonts w:ascii="Arial" w:hAnsi="Arial" w:cs="Arial"/>
                <w:color w:val="000000"/>
                <w:szCs w:val="22"/>
              </w:rPr>
              <w:t>3) направление повторного экземпляра (дубликата) уведомления о соответствии.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05D" w:rsidRDefault="00833346" w:rsidP="00A66264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proofErr w:type="gramStart"/>
            <w:r w:rsidRPr="00833346">
              <w:rPr>
                <w:rFonts w:ascii="Arial" w:hAnsi="Arial" w:cs="Arial"/>
                <w:color w:val="000000"/>
                <w:szCs w:val="22"/>
              </w:rPr>
              <w:t>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Cs w:val="22"/>
              </w:rPr>
              <w:t>;</w:t>
            </w:r>
            <w:proofErr w:type="gramEnd"/>
          </w:p>
          <w:p w:rsidR="00833346" w:rsidRPr="000E65F9" w:rsidRDefault="00833346" w:rsidP="00A66264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В</w:t>
            </w:r>
            <w:r w:rsidRPr="00833346">
              <w:rPr>
                <w:rFonts w:ascii="Arial" w:hAnsi="Arial" w:cs="Arial"/>
                <w:color w:val="000000"/>
                <w:szCs w:val="22"/>
              </w:rPr>
              <w:t xml:space="preserve">ыдает повторный экземпляр (дубликат) уведомления о соответствии в течение 7 рабочих дней </w:t>
            </w:r>
            <w:proofErr w:type="gramStart"/>
            <w:r w:rsidRPr="00833346">
              <w:rPr>
                <w:rFonts w:ascii="Arial" w:hAnsi="Arial" w:cs="Arial"/>
                <w:color w:val="000000"/>
                <w:szCs w:val="22"/>
              </w:rPr>
              <w:t>с даты поступления</w:t>
            </w:r>
            <w:proofErr w:type="gramEnd"/>
            <w:r w:rsidRPr="00833346">
              <w:rPr>
                <w:rFonts w:ascii="Arial" w:hAnsi="Arial" w:cs="Arial"/>
                <w:color w:val="000000"/>
                <w:szCs w:val="22"/>
              </w:rPr>
              <w:t xml:space="preserve"> соответствующего заявления.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6460C6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D83CCC">
              <w:rPr>
                <w:rFonts w:ascii="Arial" w:hAnsi="Arial" w:cs="Arial"/>
                <w:color w:val="000000"/>
              </w:rPr>
              <w:t>Н</w:t>
            </w:r>
            <w:r w:rsidR="00FB4D48" w:rsidRPr="00D83CCC">
              <w:rPr>
                <w:rFonts w:ascii="Arial" w:hAnsi="Arial" w:cs="Arial"/>
                <w:color w:val="000000"/>
              </w:rPr>
              <w:t>ет</w:t>
            </w:r>
          </w:p>
        </w:tc>
      </w:tr>
      <w:tr w:rsidR="00FB4D48" w:rsidRPr="00236378" w:rsidTr="00FB4D4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511039" w:rsidRDefault="00FB4D48" w:rsidP="00BB7C8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11039">
              <w:rPr>
                <w:rFonts w:ascii="Arial" w:eastAsia="Times New Roman" w:hAnsi="Arial" w:cs="Arial"/>
              </w:rPr>
              <w:t>Муниципальна</w:t>
            </w:r>
            <w:r w:rsidR="006460C6">
              <w:rPr>
                <w:rFonts w:ascii="Arial" w:eastAsia="Times New Roman" w:hAnsi="Arial" w:cs="Arial"/>
              </w:rPr>
              <w:t>я услуга оказывается бесплатно</w:t>
            </w:r>
          </w:p>
        </w:tc>
      </w:tr>
      <w:tr w:rsidR="00FB4D48" w:rsidRPr="00236378" w:rsidTr="00FB4D48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учитывающие особенности предоставления государственной </w:t>
            </w: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услуги через МФЦ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00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3A3F64" w:rsidRDefault="00B74A24" w:rsidP="006460C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Постановление Администрации </w:t>
            </w:r>
            <w:proofErr w:type="spellStart"/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>Варгашинского</w:t>
            </w:r>
            <w:proofErr w:type="spellEnd"/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</w:t>
            </w:r>
            <w:r w:rsidR="006460C6">
              <w:rPr>
                <w:rFonts w:ascii="Arial" w:eastAsia="Calibri" w:hAnsi="Arial" w:cs="Arial"/>
                <w:b w:val="0"/>
                <w:szCs w:val="22"/>
                <w:lang w:eastAsia="zh-CN"/>
              </w:rPr>
              <w:t>посс</w:t>
            </w:r>
            <w:r w:rsid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>овета от 5 марта 2020 года № 42</w:t>
            </w:r>
            <w:proofErr w:type="gramStart"/>
            <w:r w:rsid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</w:t>
            </w:r>
            <w:r w:rsidR="00833346" w:rsidRP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>О</w:t>
            </w:r>
            <w:proofErr w:type="gramEnd"/>
            <w:r w:rsidR="00833346" w:rsidRP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 w:rsidR="00833346" w:rsidRP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>Варгашинского</w:t>
            </w:r>
            <w:proofErr w:type="spellEnd"/>
            <w:r w:rsidR="00833346" w:rsidRP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поссовета 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</w:t>
            </w:r>
            <w:proofErr w:type="gramStart"/>
            <w:r w:rsidR="00833346" w:rsidRP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>участке</w:t>
            </w:r>
            <w:proofErr w:type="gramEnd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5945"/>
    <w:rsid w:val="00035C38"/>
    <w:rsid w:val="000402D0"/>
    <w:rsid w:val="00055AA1"/>
    <w:rsid w:val="0006721C"/>
    <w:rsid w:val="0009617A"/>
    <w:rsid w:val="000C7258"/>
    <w:rsid w:val="000D6821"/>
    <w:rsid w:val="000E65D1"/>
    <w:rsid w:val="000E65F9"/>
    <w:rsid w:val="00104893"/>
    <w:rsid w:val="00106549"/>
    <w:rsid w:val="00146FA3"/>
    <w:rsid w:val="00150B0B"/>
    <w:rsid w:val="00165CEC"/>
    <w:rsid w:val="001E4785"/>
    <w:rsid w:val="001F41F3"/>
    <w:rsid w:val="00236378"/>
    <w:rsid w:val="002A4064"/>
    <w:rsid w:val="002F4D8A"/>
    <w:rsid w:val="002F5927"/>
    <w:rsid w:val="002F6C42"/>
    <w:rsid w:val="00305435"/>
    <w:rsid w:val="00333510"/>
    <w:rsid w:val="0039620A"/>
    <w:rsid w:val="003A3F64"/>
    <w:rsid w:val="003C5206"/>
    <w:rsid w:val="003C7094"/>
    <w:rsid w:val="00405BA3"/>
    <w:rsid w:val="0041020D"/>
    <w:rsid w:val="004141F0"/>
    <w:rsid w:val="004166E5"/>
    <w:rsid w:val="00416A55"/>
    <w:rsid w:val="00443263"/>
    <w:rsid w:val="00484251"/>
    <w:rsid w:val="004A1410"/>
    <w:rsid w:val="004A3FC2"/>
    <w:rsid w:val="004A5AEB"/>
    <w:rsid w:val="004D44F5"/>
    <w:rsid w:val="004F5A4F"/>
    <w:rsid w:val="00500902"/>
    <w:rsid w:val="00505209"/>
    <w:rsid w:val="00511039"/>
    <w:rsid w:val="005173B8"/>
    <w:rsid w:val="00523E67"/>
    <w:rsid w:val="00536060"/>
    <w:rsid w:val="00553BC7"/>
    <w:rsid w:val="00565CB7"/>
    <w:rsid w:val="0056648E"/>
    <w:rsid w:val="005847BA"/>
    <w:rsid w:val="00587E2B"/>
    <w:rsid w:val="005C6928"/>
    <w:rsid w:val="005C75A5"/>
    <w:rsid w:val="005D2BDB"/>
    <w:rsid w:val="00626ED3"/>
    <w:rsid w:val="006460C6"/>
    <w:rsid w:val="0067536D"/>
    <w:rsid w:val="00676D3F"/>
    <w:rsid w:val="006806AE"/>
    <w:rsid w:val="00685A47"/>
    <w:rsid w:val="006C4C33"/>
    <w:rsid w:val="006E607C"/>
    <w:rsid w:val="00737EA6"/>
    <w:rsid w:val="00764722"/>
    <w:rsid w:val="00774E3D"/>
    <w:rsid w:val="0079696E"/>
    <w:rsid w:val="007A7F5A"/>
    <w:rsid w:val="007A7FA2"/>
    <w:rsid w:val="007C0122"/>
    <w:rsid w:val="007D2417"/>
    <w:rsid w:val="007E1D26"/>
    <w:rsid w:val="00812D10"/>
    <w:rsid w:val="008217CE"/>
    <w:rsid w:val="00827CA3"/>
    <w:rsid w:val="00833346"/>
    <w:rsid w:val="008360FB"/>
    <w:rsid w:val="00856E6E"/>
    <w:rsid w:val="00871183"/>
    <w:rsid w:val="008767E3"/>
    <w:rsid w:val="00881CE0"/>
    <w:rsid w:val="008902F8"/>
    <w:rsid w:val="008A1897"/>
    <w:rsid w:val="008A1EDE"/>
    <w:rsid w:val="008A71F4"/>
    <w:rsid w:val="008C05E5"/>
    <w:rsid w:val="008C66DA"/>
    <w:rsid w:val="008E688F"/>
    <w:rsid w:val="008F3E4B"/>
    <w:rsid w:val="00925459"/>
    <w:rsid w:val="009B27C8"/>
    <w:rsid w:val="009D58FE"/>
    <w:rsid w:val="009E7929"/>
    <w:rsid w:val="00A262B8"/>
    <w:rsid w:val="00A307C3"/>
    <w:rsid w:val="00A5214B"/>
    <w:rsid w:val="00A53879"/>
    <w:rsid w:val="00A66264"/>
    <w:rsid w:val="00A744F2"/>
    <w:rsid w:val="00A77C10"/>
    <w:rsid w:val="00A95E16"/>
    <w:rsid w:val="00AA06B2"/>
    <w:rsid w:val="00AB6972"/>
    <w:rsid w:val="00AE3F6A"/>
    <w:rsid w:val="00AF25A8"/>
    <w:rsid w:val="00B04F21"/>
    <w:rsid w:val="00B2106E"/>
    <w:rsid w:val="00B52401"/>
    <w:rsid w:val="00B74A24"/>
    <w:rsid w:val="00B93492"/>
    <w:rsid w:val="00B95507"/>
    <w:rsid w:val="00BB7C88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83CCC"/>
    <w:rsid w:val="00DD0525"/>
    <w:rsid w:val="00DE1303"/>
    <w:rsid w:val="00DE5D85"/>
    <w:rsid w:val="00DF426D"/>
    <w:rsid w:val="00E00926"/>
    <w:rsid w:val="00E017D5"/>
    <w:rsid w:val="00E01D36"/>
    <w:rsid w:val="00E0200C"/>
    <w:rsid w:val="00E02840"/>
    <w:rsid w:val="00E02DF1"/>
    <w:rsid w:val="00E06094"/>
    <w:rsid w:val="00E24F72"/>
    <w:rsid w:val="00E5505D"/>
    <w:rsid w:val="00E6668D"/>
    <w:rsid w:val="00E95A00"/>
    <w:rsid w:val="00EF5FF4"/>
    <w:rsid w:val="00F1489E"/>
    <w:rsid w:val="00F24E75"/>
    <w:rsid w:val="00F558A2"/>
    <w:rsid w:val="00F70E2E"/>
    <w:rsid w:val="00F847F9"/>
    <w:rsid w:val="00FB4D48"/>
    <w:rsid w:val="00FD3637"/>
    <w:rsid w:val="00FD4E8C"/>
    <w:rsid w:val="00FD4FD0"/>
    <w:rsid w:val="00FE275A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138</cp:revision>
  <cp:lastPrinted>2018-08-08T10:10:00Z</cp:lastPrinted>
  <dcterms:created xsi:type="dcterms:W3CDTF">2018-11-16T04:57:00Z</dcterms:created>
  <dcterms:modified xsi:type="dcterms:W3CDTF">2021-05-20T11:50:00Z</dcterms:modified>
</cp:coreProperties>
</file>