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Выдача разрешений на ввод объектов в эксплуатацию </w:t>
            </w:r>
            <w:r>
              <w:rPr>
                <w:rFonts w:cs="Arial" w:ascii="Arial" w:hAnsi="Arial"/>
                <w:bCs/>
                <w:spacing w:val="-1"/>
                <w:sz w:val="24"/>
                <w:szCs w:val="24"/>
                <w:shd w:fill="auto" w:val="clear"/>
                <w:lang w:eastAsia="ar-SA"/>
              </w:rPr>
              <w:t>на территории Варгашинского поссовета Варгашинского района Курганской области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eastAsia="ru-RU"/>
              </w:rPr>
              <w:t>Заявителями  на получение муниципальной услуги по выдаче разрешений на ввод объектов в эксплуатацию являются застройщики в соответствии со статьей 1 Градостроительного кодекса Российской Федерации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22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0"/>
              </w:rPr>
              <w:t xml:space="preserve"> 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069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заявление о выдаче разрешения на ввод объекта в эксплуатацию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069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069" w:hanging="0"/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069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069" w:hanging="0"/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технический план объекта капитального строительства, подготовленный в соответствии с Федеральным законом «О государственной регистрации недвижимости».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выдача (направление) разрешения на ввод объекта в эксплуатацию;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выдача (направление) решения об отказе в выдаче разрешения на ввод объекта в эксплуатацию;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eastAsia="ru-RU"/>
              </w:rPr>
              <w:t>выдача (направление) повторного экземпляра (дубликата) разрешения на ввод объекта в эксплуатацию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 рабочих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бесплатно.</w:t>
            </w:r>
          </w:p>
        </w:tc>
      </w:tr>
      <w:tr>
        <w:trPr>
          <w:trHeight w:val="74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highlight w:val="yellow"/>
                <w:lang w:eastAsia="ru-RU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Постановление Администрации Варгашинского поссовета от 1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марта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82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 Об утверждении Административного регламента предоставлени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 xml:space="preserve">я Администрацией Варгашинского поссовета муниципальной услуги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pacing w:val="-1"/>
                <w:sz w:val="24"/>
                <w:szCs w:val="24"/>
                <w:lang w:eastAsia="ar-SA"/>
              </w:rPr>
              <w:t>«Выдача разрешения на ввод объекта в эксплуатацию» на территории Варгашинского поссовета Варгашинского района Курганской области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LibreOffice/7.0.0.3$Windows_X86_64 LibreOffice_project/8061b3e9204bef6b321a21033174034a5e2ea88e</Application>
  <Pages>2</Pages>
  <Words>285</Words>
  <Characters>2301</Characters>
  <CharactersWithSpaces>2559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2022-05-12T11:20:57Z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