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4"/>
                <w:szCs w:val="24"/>
                <w:shd w:fill="auto" w:val="clear"/>
                <w:lang w:val="ru-RU"/>
              </w:rPr>
              <w:t>Организация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 xml:space="preserve">Администрация Варгашинского </w:t>
            </w:r>
            <w:r>
              <w:rPr>
                <w:rFonts w:eastAsia="Times New Roman" w:cs="Arial" w:ascii="Arial" w:hAnsi="Arial"/>
                <w:color w:val="000000"/>
                <w:szCs w:val="22"/>
                <w:lang w:eastAsia="ru-RU"/>
              </w:rPr>
              <w:t>поссовета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  <w:szCs w:val="22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color w:val="000000"/>
                <w:szCs w:val="22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 xml:space="preserve">Администрация Варгашинского </w:t>
            </w:r>
            <w:r>
              <w:rPr>
                <w:rFonts w:eastAsia="Times New Roman" w:cs="Arial" w:ascii="Arial" w:hAnsi="Arial"/>
                <w:color w:val="000000"/>
                <w:szCs w:val="22"/>
                <w:lang w:eastAsia="ru-RU"/>
              </w:rPr>
              <w:t>поссовета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eastAsia="Times New Roman" w:cs="Arial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Заявителями на получение муниципальной услуги </w:t>
            </w: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по организации и       проведению аукциона на право заключить договор о развитии застроенной территории и заключению договора о развитии застроенной территории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являются физические или юридические лица, имеющие намерение осуществить развитие застроенной территории в соответствии с договором о развитии застроенной территории, заключенным с органами местного самоуправления (далее - заявитель).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Cs w:val="22"/>
              </w:rPr>
              <w:t xml:space="preserve">  </w:t>
            </w:r>
            <w:r>
              <w:rPr>
                <w:rFonts w:eastAsia="Times New Roman" w:cs="Arial" w:ascii="Arial" w:hAnsi="Arial"/>
                <w:color w:val="000000"/>
                <w:szCs w:val="22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</w:rPr>
              <w:t xml:space="preserve">Для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участия в аукционе на право заключить договор о развитии застроенной территории (далее - аукцион) заявители представляют в установленный в извещении о проведении аукциона срок следующие документы: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bidi w:val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заявка на участие в аукционе по установленной форме с указанием реквизитов счета для возврата задатка в случае установления Администрацией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Варгашинского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поссовета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требования о внесении задатка для участия в аукционе;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bidi w:val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документы, подтверждающие внесение задатка в случае установления Администрацией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Варгашинского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поссовета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требования о внесении задатка для участия в аукционе;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bidi w:val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документы об отсутствии у заявителя задолженности по начисленным    налогам, сборам и иным обязательным платежам в бюджеты любого уровня или         государственные внебюджетные фонды за прошедший календарный год, размер       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bidi w:val="0"/>
              <w:ind w:left="1429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целях заключения договора о развитии застроенной территории (далее - договор) заявитель, признанный участником аукциона и его победителем, представляет следующие документы: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bidi w:val="0"/>
              <w:ind w:left="1429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1.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заявление о заключении договора;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             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2.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соглашение об обеспечении исполнения договора, если предоставление такого обеспечения является существенным условием договора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</w:rPr>
              <w:t xml:space="preserve">Выписка </w:t>
            </w:r>
            <w:r>
              <w:rPr>
                <w:rFonts w:eastAsia="Calibri" w:cs="Arial" w:ascii="Times New Roman" w:hAnsi="Times New Roman"/>
                <w:color w:val="000000"/>
                <w:sz w:val="28"/>
                <w:szCs w:val="28"/>
                <w:lang w:eastAsia="ru-RU"/>
              </w:rPr>
              <w:t>ЕГРЮЛ, ЕГРИП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1)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уведомление заявителя о принятом решении признать участником аукциона на право заключить договор о развитии застроенной территории;</w:t>
            </w:r>
          </w:p>
          <w:p>
            <w:pPr>
              <w:pStyle w:val="ConsPlusNormal1"/>
              <w:numPr>
                <w:ilvl w:val="0"/>
                <w:numId w:val="0"/>
              </w:numPr>
              <w:tabs>
                <w:tab w:val="clear" w:pos="708"/>
                <w:tab w:val="left" w:pos="454" w:leader="none"/>
              </w:tabs>
              <w:bidi w:val="0"/>
              <w:ind w:left="1440" w:right="0" w:hanging="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2)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уведомление заявителя о недопущении к участию в аукционе на право заключить договор о развитии застроенной территории;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54" w:leader="none"/>
              </w:tabs>
              <w:bidi w:val="0"/>
              <w:spacing w:lineRule="atLeast" w:line="0"/>
              <w:ind w:left="1440" w:right="0" w:hanging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3)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выдача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 xml:space="preserve">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направление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 xml:space="preserve">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договора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о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развитии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застроенной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территории</w:t>
            </w:r>
            <w:r>
              <w:rPr>
                <w:rFonts w:cs="Alef" w:ascii="Alef" w:hAnsi="Alef"/>
                <w:color w:val="000000"/>
                <w:sz w:val="28"/>
                <w:szCs w:val="28"/>
                <w:shd w:fill="auto" w:val="clear"/>
              </w:rPr>
              <w:t>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  <w:lang w:val="ru-RU"/>
              </w:rPr>
              <w:t>проведение аукциона на право заключить договор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/>
              </w:rPr>
              <w:t xml:space="preserve"> о развитии застроенной территории в срок </w:t>
            </w: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  <w:lang w:val="ru-RU"/>
              </w:rPr>
              <w:t>не более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  <w:lang w:val="ru-RU"/>
              </w:rPr>
              <w:t>68 дней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/>
              </w:rPr>
              <w:t xml:space="preserve"> со дня поступления заявления о предоставлении такой услуги.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0"/>
                <w:szCs w:val="20"/>
                <w:lang w:val="ru-RU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ru-RU"/>
              </w:rPr>
              <w:t xml:space="preserve">Администрация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/>
              </w:rPr>
              <w:t>Варгашинского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поссовета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ru-RU"/>
              </w:rPr>
              <w:t xml:space="preserve"> обеспечивает 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заключение договора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ru-RU"/>
              </w:rPr>
              <w:t xml:space="preserve">о развитии застроенной территории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/>
              </w:rPr>
              <w:t xml:space="preserve">в срок </w:t>
            </w: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  <w:lang w:val="ru-RU"/>
              </w:rPr>
              <w:t>не более 66 дней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0"/>
                <w:szCs w:val="20"/>
                <w:lang w:val="ru-RU"/>
              </w:rPr>
              <w:t xml:space="preserve"> со дня поступления заявления о предоставлении такой услуги.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Основания для отказа в приеме заявления и документов, необходимых для предоставления муниципальной услуги, отсутствуют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Муниципальная услуга оказывается бесплатно.</w:t>
            </w:r>
          </w:p>
        </w:tc>
      </w:tr>
      <w:tr>
        <w:trPr>
          <w:trHeight w:val="1090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highlight w:val="yellow"/>
                <w:lang w:eastAsia="ru-RU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color w:val="000000"/>
                <w:szCs w:val="22"/>
              </w:rPr>
            </w:pP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 xml:space="preserve">Постановление Администрации Варгашинского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>поссовета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 xml:space="preserve"> от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>24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>июля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 xml:space="preserve"> 2020 года №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>150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val="ru-RU" w:eastAsia="zh-CN" w:bidi="ar-SA"/>
              </w:rPr>
              <w:t xml:space="preserve"> «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spacing w:val="-1"/>
                <w:sz w:val="20"/>
                <w:szCs w:val="20"/>
                <w:lang w:eastAsia="zh-CN"/>
              </w:rPr>
              <w:t xml:space="preserve">Об утверждении Административного регламента предоставления Администрацией Варгашинского </w:t>
            </w:r>
            <w:r>
              <w:rPr>
                <w:rFonts w:eastAsia="Calibri" w:cs="Tahoma" w:ascii="Arial" w:hAnsi="Arial"/>
                <w:b w:val="false"/>
                <w:bCs w:val="false"/>
                <w:color w:val="auto"/>
                <w:spacing w:val="-1"/>
                <w:sz w:val="20"/>
                <w:szCs w:val="20"/>
                <w:lang w:val="ru-RU" w:eastAsia="en-US" w:bidi="ar-SA"/>
              </w:rPr>
              <w:t>поссовета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spacing w:val="-1"/>
                <w:sz w:val="20"/>
                <w:szCs w:val="20"/>
                <w:lang w:eastAsia="zh-CN"/>
              </w:rPr>
              <w:t xml:space="preserve"> муниципальной услуги по организации и проведению аукциона на право заключить договор о развитии застроенной территории и заключению договора о развитии застроенной территории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sz w:val="20"/>
                <w:szCs w:val="20"/>
                <w:lang w:eastAsia="zh-CN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lef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LibreOffice/7.0.0.3$Windows_X86_64 LibreOffice_project/8061b3e9204bef6b321a21033174034a5e2ea88e</Application>
  <Pages>3</Pages>
  <Words>465</Words>
  <Characters>3420</Characters>
  <CharactersWithSpaces>3887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2021-05-18T14:36:16Z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