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01314F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B06ED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B06ED" w:rsidRDefault="008A3E8C" w:rsidP="008A3E8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3E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поселений, входящих в</w:t>
            </w:r>
            <w:proofErr w:type="gramEnd"/>
            <w:r w:rsidRPr="008A3E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состав </w:t>
            </w:r>
            <w:proofErr w:type="spellStart"/>
            <w:r w:rsidRPr="008A3E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Сафакулевского</w:t>
            </w:r>
            <w:proofErr w:type="spellEnd"/>
            <w:r w:rsidRPr="008A3E8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236378" w:rsidRPr="00DA7728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D834E0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B0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Сафакулевского</w:t>
            </w:r>
            <w:proofErr w:type="spellEnd"/>
            <w:r w:rsidRPr="00EB0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6378" w:rsidRPr="00DA7728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C95FAC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ooltip="Физические лица" w:history="1">
              <w:r w:rsidR="00236378" w:rsidRPr="00EB06E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Физические </w:t>
              </w:r>
              <w:r w:rsidR="00C50922" w:rsidRPr="00EB06E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и юридические </w:t>
              </w:r>
              <w:r w:rsidR="00236378" w:rsidRPr="00EB06E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лица</w:t>
              </w:r>
            </w:hyperlink>
            <w:r w:rsidR="008E688F" w:rsidRPr="00EB06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6378" w:rsidRPr="00DA7728" w:rsidTr="008A3E8C">
        <w:trPr>
          <w:trHeight w:val="1638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B06ED" w:rsidRDefault="008A3E8C" w:rsidP="008A3E8C">
            <w:pPr>
              <w:spacing w:before="100" w:beforeAutospacing="1" w:after="19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A3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Заявителями на получение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являются физические или юридические лица, обеспечивающие на принадлежащих им земельных участках строительство, реконструкцию объекта</w:t>
            </w:r>
            <w:proofErr w:type="gramEnd"/>
            <w:r w:rsidRPr="008A3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 или садового дома </w:t>
            </w:r>
          </w:p>
        </w:tc>
      </w:tr>
      <w:tr w:rsidR="00236378" w:rsidRPr="00DA7728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1433" w:rsidRDefault="006B1433" w:rsidP="006B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документ, удостоверяющий личность;</w:t>
            </w:r>
          </w:p>
          <w:p w:rsidR="006B1433" w:rsidRDefault="006B1433" w:rsidP="006B1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доверенность, в случае обращения представителя заявителя;</w:t>
            </w:r>
          </w:p>
          <w:p w:rsidR="00650892" w:rsidRPr="00650892" w:rsidRDefault="00650892" w:rsidP="006B1433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</w:t>
            </w:r>
            <w:r w:rsidRPr="0065089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ведомление о планируем</w:t>
            </w:r>
            <w:r w:rsidR="006B14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ом</w:t>
            </w:r>
            <w:r w:rsidRPr="0065089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  <w:r w:rsidR="006B14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65089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36378" w:rsidRPr="00EB06ED" w:rsidRDefault="006B1433" w:rsidP="00C95FAC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433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6B1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правоустанавливающие документы на земельный участок </w:t>
            </w:r>
            <w:proofErr w:type="gramStart"/>
            <w:r w:rsidRPr="006B14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B1433">
              <w:rPr>
                <w:rFonts w:ascii="Arial" w:hAnsi="Arial" w:cs="Arial"/>
                <w:color w:val="000000"/>
                <w:sz w:val="20"/>
                <w:szCs w:val="20"/>
                <w:shd w:val="clear" w:color="auto" w:fill="999999"/>
              </w:rPr>
              <w:t>*Примечание: в случае, если права на него не зарегистрированы в Едином государственном реестре недвижимости)</w:t>
            </w:r>
          </w:p>
        </w:tc>
      </w:tr>
      <w:tr w:rsidR="00236378" w:rsidRPr="00DA7728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B06ED" w:rsidRDefault="009C40C6" w:rsidP="000315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DA7728" w:rsidTr="00820739">
        <w:trPr>
          <w:trHeight w:val="10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3E8C" w:rsidRPr="008A3E8C" w:rsidRDefault="008A3E8C" w:rsidP="008A3E8C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proofErr w:type="gramStart"/>
            <w:r w:rsidRPr="008A3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          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  <w:proofErr w:type="gramEnd"/>
          </w:p>
          <w:p w:rsidR="008E688F" w:rsidRPr="00EB06ED" w:rsidRDefault="008A3E8C" w:rsidP="00391F4E">
            <w:pPr>
              <w:spacing w:before="100" w:beforeAutospacing="1" w:after="142"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A3E8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2)          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  <w:proofErr w:type="gramEnd"/>
          </w:p>
        </w:tc>
      </w:tr>
      <w:tr w:rsidR="00236378" w:rsidRPr="00DA7728" w:rsidTr="00820739">
        <w:trPr>
          <w:trHeight w:val="760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6566FA" w:rsidRDefault="00391F4E" w:rsidP="004F4BA7">
            <w:pPr>
              <w:spacing w:before="100" w:beforeAutospacing="1" w:after="1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F4E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7 рабочих дней + 2 дня на передачу</w:t>
            </w:r>
          </w:p>
        </w:tc>
      </w:tr>
      <w:tr w:rsidR="00236378" w:rsidRPr="00DA7728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B06ED" w:rsidRDefault="00AE3A66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DA7728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B06ED" w:rsidRDefault="001A4053" w:rsidP="00474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DA7728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B06ED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B06ED" w:rsidRDefault="00AE3A66" w:rsidP="009559E7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DA7728" w:rsidTr="00C95FAC">
        <w:trPr>
          <w:trHeight w:val="106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B06E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EB06E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  <w:bookmarkStart w:id="2" w:name="_GoBack"/>
            <w:bookmarkEnd w:id="2"/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905C1" w:rsidRDefault="009F5260" w:rsidP="00C95FAC">
            <w:pPr>
              <w:spacing w:before="100" w:beforeAutospacing="1" w:after="1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26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9F526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Сафакулевского</w:t>
            </w:r>
            <w:proofErr w:type="spellEnd"/>
            <w:r w:rsidRPr="009F526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района от 26 июля 2019 года № 214 ««Об утверждении Административного регламента предоставления Администрацией </w:t>
            </w:r>
            <w:proofErr w:type="spellStart"/>
            <w:r w:rsidRPr="009F526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Сафакулевского</w:t>
            </w:r>
            <w:proofErr w:type="spellEnd"/>
            <w:r w:rsidRPr="009F5260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района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5173B8" w:rsidRPr="00DA7728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DA772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6A6D"/>
    <w:rsid w:val="000905C1"/>
    <w:rsid w:val="000F61A1"/>
    <w:rsid w:val="00136ED9"/>
    <w:rsid w:val="001A2D4E"/>
    <w:rsid w:val="001A4053"/>
    <w:rsid w:val="001E7B89"/>
    <w:rsid w:val="00236378"/>
    <w:rsid w:val="00266F28"/>
    <w:rsid w:val="002705D5"/>
    <w:rsid w:val="00290CF7"/>
    <w:rsid w:val="00305774"/>
    <w:rsid w:val="00353C4F"/>
    <w:rsid w:val="003879E5"/>
    <w:rsid w:val="00391F4E"/>
    <w:rsid w:val="004166E5"/>
    <w:rsid w:val="004215A7"/>
    <w:rsid w:val="00474B0C"/>
    <w:rsid w:val="004F4BA7"/>
    <w:rsid w:val="005173B8"/>
    <w:rsid w:val="00554703"/>
    <w:rsid w:val="005571C3"/>
    <w:rsid w:val="00624927"/>
    <w:rsid w:val="0063041E"/>
    <w:rsid w:val="00650892"/>
    <w:rsid w:val="006566FA"/>
    <w:rsid w:val="00664B99"/>
    <w:rsid w:val="006B1433"/>
    <w:rsid w:val="006E57F1"/>
    <w:rsid w:val="006E607C"/>
    <w:rsid w:val="0070246E"/>
    <w:rsid w:val="007316C2"/>
    <w:rsid w:val="007A7FA2"/>
    <w:rsid w:val="007D03C4"/>
    <w:rsid w:val="008031F6"/>
    <w:rsid w:val="00820739"/>
    <w:rsid w:val="00821EB1"/>
    <w:rsid w:val="0084723C"/>
    <w:rsid w:val="008A3E8C"/>
    <w:rsid w:val="008E688F"/>
    <w:rsid w:val="008E6DCE"/>
    <w:rsid w:val="00903B04"/>
    <w:rsid w:val="0093185C"/>
    <w:rsid w:val="00931D5A"/>
    <w:rsid w:val="0093499C"/>
    <w:rsid w:val="00936762"/>
    <w:rsid w:val="009559E7"/>
    <w:rsid w:val="0096694B"/>
    <w:rsid w:val="009C40C6"/>
    <w:rsid w:val="009F5260"/>
    <w:rsid w:val="00A55DB0"/>
    <w:rsid w:val="00A61333"/>
    <w:rsid w:val="00A744F2"/>
    <w:rsid w:val="00A87F4A"/>
    <w:rsid w:val="00AA6048"/>
    <w:rsid w:val="00AC19FC"/>
    <w:rsid w:val="00AE3A66"/>
    <w:rsid w:val="00B3564C"/>
    <w:rsid w:val="00BD76F8"/>
    <w:rsid w:val="00C50922"/>
    <w:rsid w:val="00C8588E"/>
    <w:rsid w:val="00C95FAC"/>
    <w:rsid w:val="00CB2011"/>
    <w:rsid w:val="00CE11E1"/>
    <w:rsid w:val="00D13DDB"/>
    <w:rsid w:val="00D7544D"/>
    <w:rsid w:val="00D834E0"/>
    <w:rsid w:val="00DA520D"/>
    <w:rsid w:val="00DA7728"/>
    <w:rsid w:val="00E00926"/>
    <w:rsid w:val="00E01D36"/>
    <w:rsid w:val="00E06654"/>
    <w:rsid w:val="00E42FC7"/>
    <w:rsid w:val="00E8570A"/>
    <w:rsid w:val="00E865E3"/>
    <w:rsid w:val="00E9125B"/>
    <w:rsid w:val="00EB06ED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79</cp:revision>
  <cp:lastPrinted>2018-08-08T10:10:00Z</cp:lastPrinted>
  <dcterms:created xsi:type="dcterms:W3CDTF">2018-05-28T04:16:00Z</dcterms:created>
  <dcterms:modified xsi:type="dcterms:W3CDTF">2021-04-07T04:41:00Z</dcterms:modified>
</cp:coreProperties>
</file>