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4EA6B" w:val="clear"/>
          </w:tcPr>
          <w:p>
            <w:pPr>
              <w:pStyle w:val="2"/>
              <w:widowControl w:val="false"/>
              <w:spacing w:before="0" w:after="20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sz w:val="26"/>
                <w:szCs w:val="26"/>
              </w:rPr>
              <w:t>«Постановка на учет и направление детей в образовательные учреждения, реализующие образовательные программы дошкольного образования»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>АДМИНИСТРАЦИЯ ШАТРОВСКОГО МУНИЦИПАЛЬНОГО ОКРУГА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282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>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2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firstLine="709"/>
              <w:jc w:val="both"/>
              <w:rPr>
                <w:rFonts w:ascii="Arial" w:hAnsi="Arial" w:eastAsia="Calibri" w:cs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26"/>
                <w:szCs w:val="26"/>
                <w:lang w:eastAsia="en-US"/>
              </w:rPr>
              <w:t>Отдел образования Администрации Шатровского муниципального округа Курганской области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851" w:leader="none"/>
                <w:tab w:val="left" w:pos="10348" w:leader="none"/>
              </w:tabs>
              <w:spacing w:lineRule="auto" w:line="240" w:before="0" w:after="0"/>
              <w:ind w:left="0" w:right="34" w:firstLine="993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родитель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pacing w:val="-2"/>
                <w:sz w:val="26"/>
                <w:szCs w:val="26"/>
                <w:lang w:val="ru-RU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(законный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pacing w:val="-2"/>
                <w:sz w:val="26"/>
                <w:szCs w:val="26"/>
                <w:lang w:val="ru-RU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представитель)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pacing w:val="-1"/>
                <w:sz w:val="26"/>
                <w:szCs w:val="26"/>
                <w:lang w:val="ru-RU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ребенка (далее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pacing w:val="-3"/>
                <w:sz w:val="26"/>
                <w:szCs w:val="26"/>
                <w:lang w:val="ru-RU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–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pacing w:val="-1"/>
                <w:sz w:val="26"/>
                <w:szCs w:val="26"/>
                <w:lang w:val="ru-RU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заявитель).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fill="B4C7DC" w:val="clear"/>
          </w:tcPr>
          <w:p>
            <w:pPr>
              <w:pStyle w:val="2"/>
              <w:widowControl w:val="false"/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Ф</w:t>
            </w: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изические лица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/>
                <w:sz w:val="26"/>
                <w:szCs w:val="26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2"/>
              <w:widowControl w:val="false"/>
              <w:spacing w:before="0" w:after="200"/>
              <w:ind w:firstLine="720"/>
              <w:jc w:val="both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нет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color="auto" w:fill="auto" w:val="clear"/>
          </w:tcPr>
          <w:p>
            <w:pPr>
              <w:pStyle w:val="2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false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заявление о предоставлении муниципальной услуги</w:t>
            </w:r>
          </w:p>
          <w:p>
            <w:pPr>
              <w:pStyle w:val="2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false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документ, удостоверяющий личность заявителя</w:t>
            </w:r>
          </w:p>
          <w:p>
            <w:pPr>
              <w:pStyle w:val="2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false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документ,   подтверждающий    право    заявителя    на    пребывание в Российской Федерации, документ(-ы), удостоверяющий(е) личность ребенка и подтверждающий(е) законность представления прав ребенка (для заявителя - иностранного гражданина либо лица без гражданства)</w:t>
            </w:r>
          </w:p>
          <w:p>
            <w:pPr>
              <w:pStyle w:val="2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false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документ, подтверждающий установление опеки (при необходимости)</w:t>
            </w:r>
          </w:p>
          <w:p>
            <w:pPr>
              <w:pStyle w:val="2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false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документ психолого – медико-педагогической комиссии (при  необходимости)</w:t>
            </w:r>
          </w:p>
          <w:p>
            <w:pPr>
              <w:pStyle w:val="2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false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документ,</w:t>
              <w:tab/>
              <w:t>подтверждающий</w:t>
              <w:tab/>
              <w:t>потребность в обучении</w:t>
              <w:tab/>
              <w:t>в группе оздоровительной направленности (при необходимости)</w:t>
            </w:r>
          </w:p>
          <w:p>
            <w:pPr>
              <w:pStyle w:val="2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false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документ, подтверждающий наличие права на специальные меры поддержки (гарантии) отдельных категорий граждан и их семей (при необходимости)</w:t>
            </w:r>
          </w:p>
          <w:p>
            <w:pPr>
              <w:pStyle w:val="2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false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806" w:leader="none"/>
                <w:tab w:val="left" w:pos="10348" w:leader="none"/>
              </w:tabs>
              <w:overflowPunct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свидетельство о рождении ребенка, выданное на территории Российской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pacing w:val="1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Федерации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806" w:leader="none"/>
                <w:tab w:val="left" w:pos="10348" w:leader="none"/>
              </w:tabs>
              <w:overflowPunct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свидетельство о регистрации ребенка по месту жительства или по месту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pacing w:val="1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пребывания на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pacing w:val="70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закрепленной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pacing w:val="70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территории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pacing w:val="70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или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pacing w:val="70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документы,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pacing w:val="70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содержащие сведения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pacing w:val="1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о месте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pacing w:val="-4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пребывания,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pacing w:val="-3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месте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pacing w:val="-2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фактического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pacing w:val="-2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проживания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pacing w:val="-3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ребенка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806" w:leader="none"/>
                <w:tab w:val="left" w:pos="10348" w:leader="none"/>
              </w:tabs>
              <w:overflowPunct w:val="false"/>
              <w:spacing w:lineRule="auto" w:line="240" w:before="0" w:after="0"/>
              <w:ind w:left="720" w:hanging="0"/>
              <w:contextualSpacing/>
              <w:jc w:val="both"/>
              <w:rPr>
                <w:rFonts w:cs="PT Astra Serif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1777" w:leader="none"/>
                <w:tab w:val="left" w:pos="10348" w:leader="none"/>
              </w:tabs>
              <w:overflowPunct w:val="false"/>
              <w:spacing w:lineRule="auto" w:line="240" w:before="0" w:after="0"/>
              <w:contextualSpacing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  <w:lang w:eastAsia="en-US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решение о постановк</w:t>
            </w: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е</w:t>
            </w: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 xml:space="preserve">   на     учет     нуждающихся     в    предоставлении     места в муниципальном образовательном учреждении (промежуточный результат)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1777" w:leader="none"/>
                <w:tab w:val="left" w:pos="10348" w:leader="none"/>
              </w:tabs>
              <w:overflowPunct w:val="false"/>
              <w:spacing w:lineRule="auto" w:line="240" w:before="0" w:after="0"/>
              <w:contextualSpacing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  <w:lang w:eastAsia="en-US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решение о направлени</w:t>
            </w: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и</w:t>
            </w: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 xml:space="preserve"> в муниципальное образовательное учреждение (основной результат)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1776" w:leader="none"/>
                <w:tab w:val="left" w:pos="10348" w:leader="none"/>
              </w:tabs>
              <w:overflowPunct w:val="false"/>
              <w:spacing w:lineRule="auto" w:line="240" w:before="0" w:after="0"/>
              <w:contextualSpacing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  <w:lang w:eastAsia="en-US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решение об отказе в предоставлении муниципальной услуги в части промежуточного результата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76" w:leader="none"/>
                <w:tab w:val="left" w:pos="10348" w:leader="none"/>
              </w:tabs>
              <w:spacing w:lineRule="auto" w:line="240" w:before="0" w:after="200"/>
              <w:ind w:left="0" w:right="32"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  <w:lang w:eastAsia="en-US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7 рабочих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6"/>
                <w:szCs w:val="26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486" w:leader="none"/>
              </w:tabs>
              <w:overflowPunct w:val="false"/>
              <w:spacing w:lineRule="auto" w:line="240" w:before="0" w:after="0"/>
              <w:ind w:left="0" w:right="2" w:hanging="0"/>
              <w:contextualSpacing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  <w:lang w:val="ru-RU"/>
              </w:rPr>
              <w:t>Предоставление услуги осуществляется без взимания платы.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23"/>
                <w:rFonts w:eastAsia="Calibri" w:ascii="Arial" w:hAnsi="Arial"/>
                <w:b w:val="false"/>
                <w:bCs w:val="false"/>
                <w:color w:val="403152" w:themeColor="accent4" w:themeShade="80"/>
                <w:kern w:val="0"/>
                <w:sz w:val="26"/>
                <w:szCs w:val="26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 xml:space="preserve">Постановление Администрации Шатровского муниципального округа Курганской области № 210 от 25 апреля 2022 года </w:t>
            </w:r>
            <w:r>
              <w:rPr>
                <w:rFonts w:eastAsia="Calibri" w:cs="PT Astra Serif" w:ascii="Arial" w:hAnsi="Arial"/>
                <w:b w:val="false"/>
                <w:bCs w:val="false"/>
                <w:sz w:val="26"/>
                <w:szCs w:val="26"/>
              </w:rPr>
              <w:t>Об утверждении 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/>
                <w:sz w:val="26"/>
                <w:szCs w:val="26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2"/>
              <w:widowControl w:val="false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О.В. Булатова</w:t>
            </w:r>
          </w:p>
          <w:p>
            <w:pPr>
              <w:pStyle w:val="2"/>
              <w:widowControl w:val="false"/>
              <w:rPr>
                <w:rFonts w:ascii="Arial" w:hAnsi="Arial" w:cs="Mang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Arial Unicode MS" w:cs="Mangal" w:ascii="Arial" w:hAnsi="Arial"/>
                <w:b w:val="false"/>
                <w:bCs w:val="false"/>
                <w:kern w:val="2"/>
                <w:sz w:val="26"/>
                <w:szCs w:val="26"/>
                <w:lang w:eastAsia="en-US" w:bidi="hi-IN"/>
              </w:rPr>
              <w:t>8/35257/ 9 17 42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Гипертекстовая ссылка"/>
    <w:basedOn w:val="Style17"/>
    <w:qFormat/>
    <w:rPr>
      <w:rFonts w:cs="Times New Roman"/>
      <w:b w:val="false"/>
      <w:color w:val="106BBE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character" w:styleId="WW8Num2z0">
    <w:name w:val="WW8Num2z0"/>
    <w:qFormat/>
    <w:rPr>
      <w:rFonts w:cs="Times New Roman"/>
    </w:rPr>
  </w:style>
  <w:style w:type="character" w:styleId="WW8Num2z1">
    <w:name w:val="WW8Num2z1"/>
    <w:qFormat/>
    <w:rPr>
      <w:rFonts w:ascii="Times New Roman" w:hAnsi="Times New Roman" w:eastAsia="Times New Roman" w:cs="Times New Roman"/>
      <w:b w:val="false"/>
      <w:bCs w:val="false"/>
      <w:w w:val="100"/>
      <w:sz w:val="26"/>
      <w:szCs w:val="26"/>
      <w:lang w:val="ru-RU"/>
    </w:rPr>
  </w:style>
  <w:style w:type="character" w:styleId="WW8Num2z2">
    <w:name w:val="WW8Num2z2"/>
    <w:qFormat/>
    <w:rPr>
      <w:rFonts w:ascii="Times New Roman" w:hAnsi="Times New Roman" w:cs="Times New Roman"/>
    </w:rPr>
  </w:style>
  <w:style w:type="character" w:styleId="Style20">
    <w:name w:val="Выделение"/>
    <w:qFormat/>
    <w:rPr>
      <w:i/>
      <w:iCs/>
    </w:rPr>
  </w:style>
  <w:style w:type="character" w:styleId="Markedcontent">
    <w:name w:val="markedcontent"/>
    <w:qFormat/>
    <w:rPr/>
  </w:style>
  <w:style w:type="paragraph" w:styleId="Style21" w:customStyle="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before="0" w:after="14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6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Style29">
    <w:name w:val="Текст примечания"/>
    <w:basedOn w:val="Normal"/>
    <w:qFormat/>
    <w:pPr/>
    <w:rPr>
      <w:sz w:val="20"/>
      <w:szCs w:val="20"/>
      <w:lang w:val="en-US"/>
    </w:rPr>
  </w:style>
  <w:style w:type="paragraph" w:styleId="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Application>LibreOffice/7.0.4.2$Windows_X86_64 LibreOffice_project/dcf040e67528d9187c66b2379df5ea4407429775</Application>
  <AppVersion>15.0000</AppVersion>
  <Pages>3</Pages>
  <Words>311</Words>
  <Characters>2403</Characters>
  <CharactersWithSpaces>2696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2024-12-12T09:35:46Z</dcterms:modified>
  <cp:revision>177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