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17"/>
        <w:gridCol w:w="12645"/>
      </w:tblGrid>
      <w:tr>
        <w:trPr/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ascii="Arial" w:hAnsi="Arial"/>
                <w:sz w:val="22"/>
                <w:szCs w:val="22"/>
              </w:rPr>
              <w:t>Администрация Шатровского района</w:t>
            </w:r>
          </w:p>
        </w:tc>
      </w:tr>
      <w:tr>
        <w:trPr/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0" w:after="140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Физические и юридические лица</w:t>
            </w:r>
          </w:p>
        </w:tc>
      </w:tr>
      <w:tr>
        <w:trPr>
          <w:trHeight w:val="731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ascii="Arial" w:hAnsi="Arial"/>
                <w:sz w:val="22"/>
                <w:szCs w:val="22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271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64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bidi="ar-SA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705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Заявите</w:t>
            </w: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ли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widowControl/>
              <w:numPr>
                <w:ilvl w:val="0"/>
                <w:numId w:val="0"/>
              </w:numPr>
              <w:bidi w:val="0"/>
              <w:spacing w:lineRule="auto" w:line="288" w:before="0" w:after="140"/>
              <w:ind w:left="110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 xml:space="preserve">Муниципальная услуга предоставляется </w:t>
            </w:r>
            <w:r>
              <w:rPr>
                <w:rFonts w:ascii="Arial" w:hAnsi="Arial"/>
                <w:sz w:val="22"/>
                <w:szCs w:val="22"/>
              </w:rPr>
              <w:t>физическим и юридическим лицам, являющимся собственниками или нанимателями жилых помещений в домах, расположенных на территории Шатровского района, либо их уполномоченным представителям.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bidi w:val="0"/>
              <w:spacing w:lineRule="auto" w:line="288" w:before="0" w:after="140"/>
              <w:ind w:left="110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части признания садового дома жилым домом и жилого дома садовым домом муниципальная услуга предоставляется собственнику садового дома или жилого дома либо уполномоченным им лицам.</w:t>
            </w:r>
          </w:p>
        </w:tc>
      </w:tr>
      <w:tr>
        <w:trPr>
          <w:trHeight w:val="117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/>
            </w:pPr>
            <w:r>
              <w:rPr>
                <w:rStyle w:val="FontStyle20"/>
                <w:rFonts w:ascii="Arial" w:hAnsi="Arial"/>
                <w:b/>
                <w:bCs/>
                <w:sz w:val="22"/>
                <w:szCs w:val="22"/>
              </w:rPr>
              <w:t>1.Признание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 заявление о предоставлении муниципальной услуги;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</w:t>
            </w:r>
            <w:r>
              <w:rPr>
                <w:rFonts w:eastAsia="Arial" w:cs="Arial" w:ascii="Arial" w:hAnsi="Arial"/>
                <w:sz w:val="22"/>
                <w:szCs w:val="22"/>
              </w:rPr>
              <w:t>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3) </w:t>
            </w:r>
            <w:r>
              <w:rPr>
                <w:rFonts w:ascii="Arial" w:hAnsi="Arial"/>
                <w:sz w:val="22"/>
                <w:szCs w:val="22"/>
              </w:rPr>
              <w:t>в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sz w:val="22"/>
                <w:szCs w:val="22"/>
              </w:rPr>
              <w:t xml:space="preserve">5)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</w:t>
            </w: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</w:rPr>
              <w:t>третьим пункта 44</w:t>
            </w:r>
            <w:r>
              <w:rPr>
                <w:rFonts w:eastAsia="Liberation Sans" w:cs="Liberation Sans" w:ascii="Arial" w:hAnsi="Arial"/>
                <w:sz w:val="22"/>
                <w:szCs w:val="22"/>
              </w:rPr>
      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Arial" w:ascii="Arial" w:hAnsi="Arial"/>
                <w:color w:val="000000"/>
                <w:sz w:val="22"/>
                <w:szCs w:val="22"/>
              </w:rPr>
              <w:t xml:space="preserve">Указанный документ может быть получен в </w:t>
            </w:r>
            <w:r>
              <w:rPr>
                <w:rFonts w:eastAsia="Liberation Sans" w:cs="Arial" w:ascii="Arial" w:hAnsi="Arial"/>
                <w:sz w:val="22"/>
                <w:szCs w:val="22"/>
              </w:rPr>
              <w:t xml:space="preserve">проектной организации, которая выполняет работы для капитального строительства, к ним относятся: проектные, изыскательские и комплексные проектно-изыскательские и научно-исследовательские организации различных форм (институты, управления, конструкторские бюро, мастерские), </w:t>
            </w:r>
            <w:r>
              <w:rPr>
                <w:rFonts w:eastAsia="Liberation Sans" w:cs="Arial" w:ascii="Arial" w:hAnsi="Arial"/>
                <w:color w:val="000000"/>
                <w:sz w:val="22"/>
                <w:szCs w:val="22"/>
              </w:rPr>
              <w:t>осуществляет свою деятельность в порядке предусмотренной статьей 49</w:t>
            </w:r>
            <w:r>
              <w:rPr>
                <w:rFonts w:eastAsia="Liberation Sans" w:cs="Arial" w:ascii="Arial" w:hAnsi="Arial"/>
                <w:sz w:val="22"/>
                <w:szCs w:val="22"/>
              </w:rPr>
              <w:t xml:space="preserve"> Градостроительного кодекса Российской Федерации.</w:t>
            </w:r>
          </w:p>
          <w:p>
            <w:pPr>
              <w:pStyle w:val="Style19"/>
              <w:rPr/>
            </w:pPr>
            <w:r>
              <w:rPr>
                <w:rStyle w:val="FontStyle20"/>
                <w:rFonts w:ascii="Arial" w:hAnsi="Arial"/>
                <w:sz w:val="22"/>
                <w:szCs w:val="22"/>
              </w:rPr>
              <w:t>6) заявления, письма, жалобы граждан на неудовлетворительные условия проживания - по усмотрению заявителя.</w:t>
            </w:r>
          </w:p>
          <w:p>
            <w:pPr>
              <w:pStyle w:val="Style19"/>
              <w:rPr/>
            </w:pPr>
            <w:r>
              <w:rPr>
                <w:rStyle w:val="FontStyle20"/>
                <w:rFonts w:eastAsia="Calibri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lang w:val="ru-RU"/>
              </w:rPr>
              <w:t>2.</w:t>
            </w:r>
            <w:r>
              <w:rPr>
                <w:rFonts w:eastAsia="Calibri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lang w:val="ru-RU"/>
              </w:rPr>
              <w:t xml:space="preserve"> Признание садового дома жилым домом или жилого дома садовым домом: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 xml:space="preserve">1) </w:t>
            </w: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>заявление о предоставлении муниципальной услуги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>2)</w:t>
            </w: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документа.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 xml:space="preserve">3) </w:t>
            </w: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 декабря 2009 года № 384-ФЗ «Технический регламент о безопасности зданий и сооружений»</w:t>
            </w:r>
            <w:r>
              <w:rPr>
                <w:rFonts w:eastAsia="Liberation Sans" w:cs="Liberation Sans" w:ascii="Arial" w:hAnsi="Arial"/>
                <w:sz w:val="22"/>
                <w:szCs w:val="22"/>
              </w:rPr>
              <w:t xml:space="preserve">, </w:t>
            </w: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>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>
            <w:pPr>
              <w:pStyle w:val="Style19"/>
              <w:spacing w:before="0" w:after="14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/>
              </w:rPr>
              <w:t xml:space="preserve"> </w:t>
            </w:r>
            <w:r>
              <w:rPr>
                <w:rFonts w:eastAsia="Liberation Sans" w:cs="Liberation Sans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/>
              </w:rPr>
              <w:t xml:space="preserve">4) </w:t>
            </w:r>
            <w:r>
              <w:rPr>
                <w:rFonts w:eastAsia="Liberation Sans" w:cs="Liberation Sans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/>
              </w:rPr>
      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</w:tr>
      <w:tr>
        <w:trPr>
          <w:trHeight w:val="1466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widowControl/>
              <w:numPr>
                <w:ilvl w:val="0"/>
                <w:numId w:val="0"/>
              </w:numPr>
              <w:bidi w:val="0"/>
              <w:spacing w:lineRule="auto" w:line="288" w:before="0" w:after="140"/>
              <w:ind w:left="1157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>1. С</w:t>
            </w:r>
            <w:r>
              <w:rPr>
                <w:rFonts w:eastAsia="Liberation Sans" w:cs="Liberation Sans" w:ascii="Arial" w:hAnsi="Arial"/>
                <w:sz w:val="22"/>
                <w:szCs w:val="22"/>
                <w:shd w:fill="FFFFFF" w:val="clear"/>
              </w:rPr>
              <w:t>ведения из Единого государственного реестра недвижимости о правах на жилое помещение;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sz w:val="22"/>
                <w:szCs w:val="22"/>
              </w:rPr>
              <w:t>2. Т</w:t>
            </w:r>
            <w:r>
              <w:rPr>
                <w:rFonts w:eastAsia="Liberation Sans" w:cs="Liberation Sans" w:ascii="Arial" w:hAnsi="Arial"/>
                <w:sz w:val="22"/>
                <w:szCs w:val="22"/>
              </w:rPr>
              <w:t>ехнический паспорт жилого помещения, а для нежилых помещений - технический план;</w:t>
            </w:r>
          </w:p>
          <w:p>
            <w:pPr>
              <w:pStyle w:val="Style19"/>
              <w:spacing w:before="0" w:after="14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b w:val="false"/>
                <w:bCs w:val="false"/>
                <w:sz w:val="22"/>
                <w:szCs w:val="22"/>
                <w:highlight w:val="white"/>
              </w:rPr>
              <w:t>3. З</w:t>
            </w:r>
            <w:r>
              <w:rPr>
                <w:rFonts w:eastAsia="Liberation Sans" w:cs="Liberation Sans" w:ascii="Arial" w:hAnsi="Arial"/>
                <w:b w:val="false"/>
                <w:bCs w:val="false"/>
                <w:sz w:val="22"/>
                <w:szCs w:val="22"/>
                <w:highlight w:val="white"/>
              </w:rPr>
              <w:t>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      </w:r>
          </w:p>
        </w:tc>
      </w:tr>
      <w:tr>
        <w:trPr>
          <w:trHeight w:val="847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Результатом предоставления муниципальной услуги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п</w:t>
            </w:r>
            <w:r>
              <w:rPr>
                <w:rFonts w:eastAsia="Liberation Sans" w:cs="Liberation Sans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>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является </w:t>
            </w: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>одно из следующих решений: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реконструкции;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об отказе в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 xml:space="preserve">Результатом предоставления муниципальной услуги </w:t>
            </w:r>
            <w:r>
              <w:rPr>
                <w:rFonts w:eastAsia="Liberation Sans" w:cs="Liberation Sans" w:ascii="Arial" w:hAnsi="Arial"/>
                <w:b/>
                <w:bCs/>
                <w:color w:val="000000"/>
                <w:sz w:val="22"/>
                <w:szCs w:val="22"/>
                <w:shd w:fill="FFFFFF" w:val="clear"/>
              </w:rPr>
              <w:t>по признанию садового дома жилым домом или жилого дома садовым домом</w:t>
            </w:r>
            <w:r>
              <w:rPr>
                <w:rFonts w:eastAsia="Liberation Sans" w:cs="Liberation Sans" w:ascii="Arial" w:hAnsi="Arial"/>
                <w:color w:val="000000"/>
                <w:sz w:val="22"/>
                <w:szCs w:val="22"/>
                <w:shd w:fill="FFFFFF" w:val="clear"/>
              </w:rPr>
              <w:t xml:space="preserve"> является одно из следующих решений: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о признании садового дома жилым домом или жилого дома садовым домом;</w:t>
            </w:r>
          </w:p>
          <w:p>
            <w:pPr>
              <w:pStyle w:val="Style19"/>
              <w:spacing w:before="0" w:after="1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об отказе в признании садового дома жилым домом или жилого дома садовым домом.</w:t>
            </w:r>
          </w:p>
        </w:tc>
      </w:tr>
      <w:tr>
        <w:trPr/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widowControl/>
              <w:numPr>
                <w:ilvl w:val="0"/>
                <w:numId w:val="0"/>
              </w:numPr>
              <w:bidi w:val="0"/>
              <w:spacing w:lineRule="auto" w:line="288" w:before="0" w:after="140"/>
              <w:ind w:left="146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   </w:t>
            </w:r>
            <w:r>
              <w:rPr>
                <w:rFonts w:eastAsia="Liberation Sans" w:cs="Liberation Sans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услуги, составляет </w:t>
            </w:r>
            <w:r>
              <w:rPr>
                <w:rFonts w:eastAsia="Liberation Sans" w:cs="Liberation Sans" w:ascii="Arial" w:hAnsi="Arial"/>
                <w:b/>
                <w:bCs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>65 календарных дней</w:t>
            </w:r>
            <w:r>
              <w:rPr>
                <w:rFonts w:eastAsia="Liberation Sans" w:cs="Liberation Sans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>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bidi w:val="0"/>
              <w:spacing w:lineRule="auto" w:line="288" w:before="0" w:after="140"/>
              <w:ind w:left="146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   </w:t>
            </w: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Решение о признании или об отказе в признании </w:t>
            </w: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>садового дома жилым домом или жилого дома садовым домом</w:t>
            </w: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 должно быть принято Администрацией Шатровского района по результатам рассмотрения заявления о признании садового дома жилым домом или жилого дома садовым домом и иных документов, не позднее чем через </w:t>
            </w: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>45 календарных дней</w:t>
            </w: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val="ru-RU" w:eastAsia="ru-RU"/>
              </w:rPr>
              <w:t xml:space="preserve"> со дня подачи заявления.</w:t>
            </w:r>
          </w:p>
        </w:tc>
      </w:tr>
      <w:tr>
        <w:trPr>
          <w:trHeight w:val="527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0" w:after="140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Отсутствуют</w:t>
            </w:r>
          </w:p>
        </w:tc>
      </w:tr>
      <w:tr>
        <w:trPr/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0" w:after="140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before="0" w:after="140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Отсутствуют</w:t>
            </w:r>
          </w:p>
        </w:tc>
      </w:tr>
      <w:tr>
        <w:trPr>
          <w:trHeight w:val="1966" w:hRule="atLeast"/>
        </w:trPr>
        <w:tc>
          <w:tcPr>
            <w:tcW w:w="27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6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bookmarkStart w:id="0" w:name="__DdeLink__37870_2889315848"/>
            <w:r>
              <w:rPr>
                <w:rStyle w:val="FontStyle20"/>
                <w:rFonts w:ascii="Arial" w:hAnsi="Arial"/>
                <w:sz w:val="22"/>
                <w:szCs w:val="22"/>
              </w:rPr>
              <w:t>Постановление Администрации Шатровского района от 17.03.2020 г. №102  «Об утверждении Административного регламента предоставления Администрацией Шатровского района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5"/>
      <w:numFmt w:val="decimal"/>
      <w:lvlText w:val="%3."/>
      <w:lvlJc w:val="left"/>
      <w:pPr>
        <w:ind w:left="1800" w:hanging="360"/>
      </w:pPr>
      <w:rPr>
        <w:sz w:val="24"/>
        <w:szCs w:val="24"/>
        <w:rFonts w:ascii="PT Astra Serif" w:hAnsi="PT Astra Serif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sz w:val="24"/>
        <w:szCs w:val="24"/>
        <w:rFonts w:ascii="PT Astra Serif" w:hAnsi="PT Astra Serif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ListLabel34">
    <w:name w:val="ListLabel 34"/>
    <w:qFormat/>
    <w:rPr>
      <w:rFonts w:ascii="PT Astra Serif" w:hAnsi="PT Astra Serif"/>
      <w:sz w:val="24"/>
      <w:szCs w:val="24"/>
    </w:rPr>
  </w:style>
  <w:style w:type="character" w:styleId="ListLabel36">
    <w:name w:val="ListLabel 36"/>
    <w:qFormat/>
    <w:rPr>
      <w:rFonts w:ascii="PT Astra Serif" w:hAnsi="PT Astra Serif"/>
      <w:sz w:val="24"/>
      <w:szCs w:val="24"/>
    </w:rPr>
  </w:style>
  <w:style w:type="character" w:styleId="ListLabel38">
    <w:name w:val="ListLabel 38"/>
    <w:qFormat/>
    <w:rPr>
      <w:rFonts w:ascii="PT Astra Serif" w:hAnsi="PT Astra Serif"/>
      <w:sz w:val="24"/>
      <w:szCs w:val="24"/>
    </w:rPr>
  </w:style>
  <w:style w:type="character" w:styleId="ListLabel40">
    <w:name w:val="ListLabel 40"/>
    <w:qFormat/>
    <w:rPr>
      <w:rFonts w:ascii="PT Astra Serif" w:hAnsi="PT Astra Serif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2">
    <w:name w:val="Обычный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Standard">
    <w:name w:val="Standard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LibreOffice/6.2.2.2$Windows_X86_64 LibreOffice_project/2b840030fec2aae0fd2658d8d4f9548af4e3518d</Application>
  <Pages>4</Pages>
  <Words>826</Words>
  <Characters>6010</Characters>
  <CharactersWithSpaces>6797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2020-07-15T09:37:47Z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