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33"/>
        <w:gridCol w:w="12129"/>
      </w:tblGrid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Катайского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>
          <w:trHeight w:val="2549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Заявителями на получение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дома.</w:t>
            </w:r>
          </w:p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trike w:val="false"/>
                <w:dstrike w:val="false"/>
                <w:sz w:val="22"/>
                <w:szCs w:val="22"/>
                <w:u w:val="none"/>
              </w:rPr>
              <w:t xml:space="preserve">     </w:t>
            </w:r>
            <w:r>
              <w:rPr>
                <w:rFonts w:ascii="Arial" w:hAnsi="Arial"/>
                <w:strike w:val="false"/>
                <w:dstrike w:val="false"/>
                <w:sz w:val="22"/>
                <w:szCs w:val="22"/>
                <w:u w:val="none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Катайского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1031" w:hRule="atLeast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jc w:val="both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Н</w:t>
            </w:r>
            <w:r>
              <w:rPr>
                <w:rFonts w:ascii="Arial" w:hAnsi="Arial"/>
                <w:b/>
                <w:bCs/>
                <w:sz w:val="22"/>
              </w:rPr>
              <w:t>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случаях, указанных в пункте 5 части 19 статьи 55 Градостроительного кодекса Российской Федерации, в отношении территорий сельских поселений, входящих в состав Катайского района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eastAsia="ru-RU" w:bidi="ar-SA"/>
              </w:rPr>
              <w:t>1. Н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eastAsia="ru-RU" w:bidi="ar-SA"/>
              </w:rPr>
              <w:t>аправление уведомлений о соответствии (о несоответствии) построенных или реконструированных объекта индивидуального 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>
            <w:pPr>
              <w:pStyle w:val="Style25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ru-RU"/>
              </w:rPr>
              <w:t>1.1.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Уведомление об окончании строительства или реконструкции объекта индивидуального жилищного строительства или садового дома, содержащее следующие сведения: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-фамилия, имя, отчество (при наличии), место жительства заявителя, реквизиты документа, удостоверяющего личность (для физического лица);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-кадастровый номер земельного участка (при его наличии), адрес или описание местоположения земельного участка;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 праве заявителя на земельный участок, а также сведения о наличии прав иных лиц на земельный участок (при наличии таких лиц);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-почтовый адрес и (или) адрес электронной почты для связи с заявителем;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 параметрах построенного или реконструированного объекта индивидуального жилищного строительства или садового дома;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об оплате государственной пошлины за осуществление государственной регистрации прав;</w:t>
            </w:r>
          </w:p>
          <w:p>
            <w:pPr>
              <w:pStyle w:val="Style25"/>
              <w:tabs>
                <w:tab w:val="clear" w:pos="720"/>
                <w:tab w:val="left" w:pos="1134" w:leader="none"/>
              </w:tabs>
              <w:spacing w:lineRule="auto" w:line="276" w:before="0" w:after="0"/>
              <w:ind w:firstLine="56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>-сведения о способе направления заявителю уведомления о соответствии либо о несоответствии;</w:t>
            </w:r>
          </w:p>
          <w:p>
            <w:pPr>
              <w:pStyle w:val="Style25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ru-RU"/>
              </w:rPr>
              <w:t>1.2.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документ, подтверждающий полномочия представителя заявителя, в случае, если уведомление об окончании строительства направлено представителем заявителя;</w:t>
            </w:r>
          </w:p>
          <w:p>
            <w:pPr>
              <w:pStyle w:val="Style25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ru-RU"/>
              </w:rPr>
              <w:t>1.3.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>
            <w:pPr>
              <w:pStyle w:val="Style25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76" w:before="0" w:after="0"/>
              <w:ind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ru-RU"/>
              </w:rPr>
              <w:t>1.4.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 технический план объекта индивидуального жилищного строительства или садового дома;</w:t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 xml:space="preserve">1.5. </w:t>
            </w:r>
            <w:bookmarkStart w:id="0" w:name="__DdeLink__11804_209699587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  <w:bookmarkEnd w:id="0"/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left="928" w:hanging="0"/>
              <w:jc w:val="both"/>
              <w:rPr>
                <w:rFonts w:eastAsia="Times New Roman" w:cs="Arial"/>
                <w:color w:val="000000"/>
                <w:spacing w:val="-1"/>
                <w:highlight w:val="yellow"/>
                <w:u w:val="none"/>
                <w:lang w:val="ru-RU"/>
              </w:rPr>
            </w:pPr>
            <w:r>
              <w:rPr>
                <w:rFonts w:eastAsia="Times New Roman" w:cs="Arial"/>
                <w:color w:val="000000"/>
                <w:spacing w:val="-1"/>
                <w:highlight w:val="yellow"/>
                <w:u w:val="none"/>
                <w:lang w:val="ru-RU"/>
              </w:rPr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2. Выдача повторного экземпляра (дубликата) уведомления о соответствии.</w:t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 xml:space="preserve">2.1. </w:t>
            </w:r>
            <w:bookmarkStart w:id="1" w:name="__DdeLink__20801_209699587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Заявление о выдаче дубликата уведомления о соответствии.</w:t>
            </w:r>
            <w:bookmarkEnd w:id="1"/>
          </w:p>
        </w:tc>
      </w:tr>
      <w:tr>
        <w:trPr>
          <w:trHeight w:val="7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6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Defau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Результатами предоставления муниципальной услуги являются:</w:t>
            </w:r>
          </w:p>
          <w:p>
            <w:pPr>
              <w:pStyle w:val="Defau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trike w:val="false"/>
                <w:dstrike w:val="false"/>
                <w:sz w:val="22"/>
                <w:u w:val="none"/>
              </w:rPr>
              <w:t>1)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>
            <w:pPr>
              <w:pStyle w:val="Default"/>
              <w:jc w:val="both"/>
              <w:rPr/>
            </w:pPr>
            <w:r>
              <w:rPr>
                <w:rFonts w:ascii="Arial" w:hAnsi="Arial"/>
                <w:strike w:val="false"/>
                <w:dstrike w:val="false"/>
                <w:sz w:val="22"/>
                <w:u w:val="none"/>
              </w:rPr>
              <w:t>2)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>
            <w:pPr>
              <w:pStyle w:val="Default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spacing w:val="-1"/>
                <w:sz w:val="22"/>
                <w:szCs w:val="22"/>
                <w:shd w:fill="auto" w:val="clear"/>
                <w:lang w:eastAsia="ru-RU"/>
              </w:rPr>
              <w:t>3.  Направление повторного экземпляра (дубликата) уведомления о соответствии.</w:t>
            </w:r>
          </w:p>
        </w:tc>
      </w:tr>
      <w:tr>
        <w:trPr>
          <w:trHeight w:val="69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 рабочих дней</w:t>
            </w:r>
          </w:p>
        </w:tc>
      </w:tr>
      <w:tr>
        <w:trPr>
          <w:trHeight w:val="52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hanging="0"/>
              <w:jc w:val="both"/>
              <w:rPr/>
            </w:pP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Постановление Администрации Далматовского района от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30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июля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 2019  года № 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257</w:t>
            </w:r>
            <w:r>
              <w:rPr>
                <w:rStyle w:val="FontStyle20"/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«</w:t>
            </w:r>
            <w:r>
              <w:rPr>
                <w:rFonts w:ascii="Arial" w:hAnsi="Arial" w:cstheme="minorBidi"/>
                <w:b w:val="false"/>
                <w:bCs w:val="false"/>
                <w:i w:val="false"/>
                <w:iCs w:val="false"/>
                <w:sz w:val="22"/>
                <w:szCs w:val="22"/>
              </w:rPr>
              <w:t>Об утверждении Административного регламента предоставления Администрацией Катайского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lfae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10z0">
    <w:name w:val="WW8Num10z0"/>
    <w:qFormat/>
    <w:rPr>
      <w:rFonts w:cs="Liberation San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9">
    <w:name w:val="ListLabel 19"/>
    <w:qFormat/>
    <w:rPr>
      <w:rFonts w:cs="Liberation San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Sylfaen" w:hAnsi="Sylfae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LibreOffice/6.2.2.2$Windows_X86_64 LibreOffice_project/2b840030fec2aae0fd2658d8d4f9548af4e3518d</Application>
  <Pages>3</Pages>
  <Words>605</Words>
  <Characters>4920</Characters>
  <CharactersWithSpaces>5493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2019-08-06T04:04:00Z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2020-07-21T15:14:20Z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