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233"/>
        <w:gridCol w:w="12129"/>
      </w:tblGrid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Катайского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200"/>
              <w:ind w:left="0" w:hanging="0"/>
              <w:jc w:val="both"/>
              <w:rPr/>
            </w:pPr>
            <w:r>
              <w:rPr>
                <w:rFonts w:eastAsia="Times New Roman" w:cs="Arial" w:ascii="Arial" w:hAnsi="Arial"/>
                <w:sz w:val="22"/>
                <w:szCs w:val="22"/>
                <w:lang w:eastAsia="ru-RU"/>
              </w:rPr>
              <w:t>Физические или юридические лица</w:t>
            </w:r>
          </w:p>
        </w:tc>
      </w:tr>
      <w:tr>
        <w:trPr>
          <w:trHeight w:val="693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Катайского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1031" w:hRule="atLeast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88" w:before="0" w:after="14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bookmarkStart w:id="0" w:name="__DdeLink__11850_4093306231"/>
            <w:r>
              <w:rPr>
                <w:rFonts w:ascii="Arial" w:hAnsi="Arial"/>
                <w:b/>
                <w:bCs/>
                <w:sz w:val="22"/>
                <w:szCs w:val="22"/>
              </w:rPr>
              <w:t>«Н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сельских поселений, входящих в состав Катайского района»</w:t>
            </w:r>
            <w:bookmarkEnd w:id="0"/>
          </w:p>
        </w:tc>
      </w:tr>
      <w:tr>
        <w:trPr>
          <w:trHeight w:val="1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jc w:val="both"/>
              <w:rPr/>
            </w:pPr>
            <w:r>
              <w:rPr>
                <w:sz w:val="23"/>
              </w:rPr>
              <w:t>Д</w:t>
            </w:r>
            <w:r>
              <w:rPr>
                <w:sz w:val="23"/>
              </w:rPr>
              <w:t xml:space="preserve">ля предоставления муниципальной услуги </w:t>
            </w:r>
            <w:r>
              <w:rPr>
                <w:sz w:val="23"/>
              </w:rPr>
              <w:t>необходимо предоставить</w:t>
            </w:r>
            <w:r>
              <w:rPr>
                <w:sz w:val="23"/>
              </w:rPr>
              <w:t>: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1) уведомление о планируемых строительстве или реконструкции объекта индивидуального жилищного строительства или садового дома), содержащее следующие сведения: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фамилия, имя, отчество (при наличии), место жительства заявителя, реквизиты документа, удостоверяющего личность (для физического лица);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кадастровый номер земельного участка (при его наличии), адрес или описание местоположения земельного участка;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сведения о праве заявителя на земельный участок, а также сведения о наличии прав иных лиц на земельный участок (при наличии таких лиц);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почтовый адрес и (или) адрес электронной почты для связи с заявителем;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- способ направления заявителю уведомления о соответствии либо о несоответствии;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      </w:r>
          </w:p>
          <w:p>
            <w:pPr>
              <w:pStyle w:val="Default"/>
              <w:jc w:val="both"/>
              <w:rPr/>
            </w:pPr>
            <w:r>
              <w:rPr>
                <w:strike w:val="false"/>
                <w:dstrike w:val="false"/>
                <w:sz w:val="23"/>
                <w:u w:val="none"/>
              </w:rPr>
              <w:t>3)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/>
                <w:strike w:val="false"/>
                <w:dstrike w:val="false"/>
                <w:sz w:val="23"/>
                <w:u w:val="none"/>
              </w:rP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>
        <w:trPr>
          <w:trHeight w:val="7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firstLine="567"/>
              <w:contextualSpacing/>
              <w:jc w:val="both"/>
              <w:rPr>
                <w:highlight w:val="white"/>
              </w:rPr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shd w:fill="auto" w:val="clear"/>
                <w:lang w:eastAsia="ru-RU"/>
              </w:rPr>
              <w:t>П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равоустанавливающие документы на земельный участок, права на которые зарегистрированы в Едином государственном реестре недвижимости.</w:t>
            </w:r>
          </w:p>
        </w:tc>
      </w:tr>
      <w:tr>
        <w:trPr>
          <w:trHeight w:val="834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Результатами предоставления муниципальной услуги являются:</w:t>
            </w:r>
          </w:p>
          <w:p>
            <w:pPr>
              <w:pStyle w:val="Defau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1)</w:t>
            </w:r>
            <w:r>
              <w:rPr>
                <w:rFonts w:ascii="Arial" w:hAnsi="Arial"/>
                <w:strike w:val="false"/>
                <w:dstrike w:val="false"/>
                <w:sz w:val="22"/>
                <w:szCs w:val="22"/>
                <w:u w:val="none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>
            <w:pPr>
              <w:pStyle w:val="Defau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2)</w:t>
            </w:r>
            <w:r>
              <w:rPr>
                <w:rFonts w:ascii="Arial" w:hAnsi="Arial"/>
                <w:strike w:val="false"/>
                <w:dstrike w:val="false"/>
                <w:sz w:val="22"/>
                <w:szCs w:val="22"/>
                <w:u w:val="none"/>
              </w:rPr>
              <w:t xml:space="preserve">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20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trike w:val="false"/>
                <w:dstrike w:val="false"/>
                <w:sz w:val="22"/>
                <w:szCs w:val="22"/>
                <w:u w:val="none"/>
              </w:rPr>
              <w:t>3)</w:t>
            </w:r>
            <w:r>
              <w:rPr>
                <w:rFonts w:ascii="Arial" w:hAnsi="Arial"/>
                <w:strike w:val="false"/>
                <w:dstrike w:val="false"/>
                <w:sz w:val="22"/>
                <w:szCs w:val="22"/>
                <w:u w:val="none"/>
              </w:rPr>
              <w:t xml:space="preserve"> направление повторного экземпляра (дубликата) уведомления о соответствии.</w:t>
            </w:r>
          </w:p>
        </w:tc>
      </w:tr>
      <w:tr>
        <w:trPr>
          <w:trHeight w:val="69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7 рабочих дней</w:t>
            </w:r>
          </w:p>
        </w:tc>
      </w:tr>
      <w:tr>
        <w:trPr>
          <w:trHeight w:val="52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before="0" w:after="20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П</w:t>
            </w:r>
            <w:r>
              <w:rPr>
                <w:rFonts w:eastAsia="Calibri" w:cs="" w:ascii="Arial" w:hAnsi="Arial" w:cstheme="minorBidi" w:eastAsiaTheme="minorHAnsi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остановление Администрации Далматовского района от </w:t>
            </w:r>
            <w:r>
              <w:rPr>
                <w:rFonts w:eastAsia="Calibri" w:cs="" w:ascii="Arial" w:hAnsi="Arial" w:cstheme="minorBidi" w:eastAsiaTheme="minorHAnsi"/>
                <w:b w:val="false"/>
                <w:bCs w:val="false"/>
                <w:i w:val="false"/>
                <w:iCs w:val="false"/>
                <w:sz w:val="22"/>
                <w:szCs w:val="22"/>
              </w:rPr>
              <w:t>30</w:t>
            </w:r>
            <w:r>
              <w:rPr>
                <w:rFonts w:eastAsia="Calibri" w:cs="" w:ascii="Arial" w:hAnsi="Arial" w:cstheme="minorBidi" w:eastAsiaTheme="minorHAnsi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</w:t>
            </w:r>
            <w:r>
              <w:rPr>
                <w:rFonts w:eastAsia="Calibri" w:cs="" w:ascii="Arial" w:hAnsi="Arial" w:cstheme="minorBidi" w:eastAsiaTheme="minorHAnsi"/>
                <w:b w:val="false"/>
                <w:bCs w:val="false"/>
                <w:i w:val="false"/>
                <w:iCs w:val="false"/>
                <w:sz w:val="22"/>
                <w:szCs w:val="22"/>
              </w:rPr>
              <w:t>июля 2019 года №256 «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Об утверждении Административного регламента предоставления Администрацией Катайского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eastAsia="Calibri" w:cs="" w:ascii="Arial" w:hAnsi="Arial" w:cstheme="minorBidi" w:eastAsiaTheme="minorHAnsi"/>
                <w:b w:val="false"/>
                <w:bCs w:val="false"/>
                <w:i w:val="false"/>
                <w:iCs w:val="false"/>
                <w:sz w:val="22"/>
                <w:szCs w:val="22"/>
              </w:rPr>
              <w:t>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10z0">
    <w:name w:val="WW8Num10z0"/>
    <w:qFormat/>
    <w:rPr>
      <w:rFonts w:cs="Liberation San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19">
    <w:name w:val="ListLabel 19"/>
    <w:qFormat/>
    <w:rPr>
      <w:rFonts w:cs="Liberation San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Application>LibreOffice/6.2.2.2$Windows_X86_64 LibreOffice_project/2b840030fec2aae0fd2658d8d4f9548af4e3518d</Application>
  <Pages>3</Pages>
  <Words>561</Words>
  <Characters>4348</Characters>
  <CharactersWithSpaces>4869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2019-08-06T03:59:00Z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2020-07-21T15:31:47Z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