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662"/>
        <w:gridCol w:w="12700"/>
      </w:tblGrid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D4EA6B" w:val="clear"/>
          </w:tcPr>
          <w:p>
            <w:pPr>
              <w:pStyle w:val="Normal"/>
              <w:keepNext w:val="true"/>
              <w:widowControl w:val="false"/>
              <w:suppressAutoHyphens w:val="false"/>
              <w:spacing w:lineRule="auto" w:line="240" w:beforeAutospacing="1" w:after="0"/>
              <w:ind w:left="0" w:firstLine="709"/>
              <w:jc w:val="center"/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Autospacing="1" w:after="0"/>
              <w:ind w:left="0" w:firstLine="709"/>
              <w:jc w:val="both"/>
              <w:rPr>
                <w:rFonts w:ascii="Arial" w:hAnsi="Arial"/>
                <w:b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right="282" w:hanging="0"/>
              <w:jc w:val="left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Администрация Шатровского муниципального округа Курганской области</w:t>
            </w:r>
          </w:p>
        </w:tc>
      </w:tr>
      <w:tr>
        <w:trPr>
          <w:trHeight w:val="492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0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eastAsia="Calibri" w:cs="PT Astra Serif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eastAsia="Calibri" w:cs="PT Astra Serif" w:ascii="Arial" w:hAnsi="Arial"/>
                <w:b w:val="false"/>
                <w:bCs w:val="false"/>
                <w:color w:val="000000"/>
                <w:sz w:val="24"/>
                <w:szCs w:val="24"/>
                <w:lang w:eastAsia="en-US"/>
              </w:rPr>
              <w:t>Отдел по развитию территории, жилищно-коммунальному хозяйству и строительству Администрации Шатровского муниципального округа</w:t>
            </w:r>
          </w:p>
        </w:tc>
      </w:tr>
      <w:tr>
        <w:trPr>
          <w:trHeight w:val="774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fill="FFD8CE" w:val="clea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1301" w:leader="none"/>
              </w:tabs>
              <w:spacing w:lineRule="auto" w:line="240" w:before="0" w:after="0"/>
              <w:ind w:right="-1" w:hanging="0"/>
              <w:jc w:val="both"/>
              <w:outlineLv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zh-CN"/>
              </w:rPr>
              <w:t>Ф</w:t>
            </w:r>
            <w:r>
              <w:rPr>
                <w:rFonts w:cs="Times New Roman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zh-CN"/>
              </w:rPr>
              <w:t>изические лица, индивидуальные предприниматели, юридические лица (далее - заявитель)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700" w:type="dxa"/>
            <w:tcBorders>
              <w:top w:val="single" w:sz="6" w:space="0" w:color="2A6099"/>
              <w:left w:val="single" w:sz="6" w:space="0" w:color="2A6099"/>
              <w:bottom w:val="single" w:sz="6" w:space="0" w:color="2A6099"/>
              <w:right w:val="single" w:sz="6" w:space="0" w:color="2A6099"/>
            </w:tcBorders>
            <w:shd w:fill="B4C7DC" w:val="clea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shd w:val="clear" w:fill="FFFFFF"/>
              <w:tabs>
                <w:tab w:val="clear" w:pos="720"/>
                <w:tab w:val="left" w:pos="1301" w:leader="none"/>
              </w:tabs>
              <w:spacing w:lineRule="auto" w:line="240" w:before="0" w:after="0"/>
              <w:ind w:right="-1" w:hanging="0"/>
              <w:jc w:val="both"/>
              <w:outlineLvl w:val="0"/>
              <w:rPr>
                <w:rFonts w:ascii="Arial" w:hAnsi="Arial"/>
                <w:sz w:val="24"/>
                <w:szCs w:val="24"/>
              </w:rPr>
            </w:pPr>
            <w:r>
              <w:rPr>
                <w:rFonts w:cs="Times New Roman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zh-CN"/>
              </w:rPr>
      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Подуслуги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trike w:val="false"/>
                <w:dstrike w:val="false"/>
                <w:sz w:val="24"/>
                <w:szCs w:val="24"/>
                <w:u w:val="none"/>
              </w:rPr>
              <w:t xml:space="preserve">Нет 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PT Astra Serif" w:ascii="Arial" w:hAnsi="Arial"/>
                <w:bCs/>
                <w:sz w:val="24"/>
                <w:szCs w:val="24"/>
              </w:rPr>
              <w:t>Заявление</w:t>
            </w:r>
          </w:p>
          <w:p>
            <w:pPr>
              <w:pStyle w:val="ConsPlusNormal1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PT Astra Serif" w:ascii="Arial" w:hAnsi="Arial"/>
                <w:bCs/>
                <w:sz w:val="24"/>
                <w:szCs w:val="24"/>
              </w:rPr>
              <w:t>Документ удостоверяющий личность</w:t>
            </w:r>
          </w:p>
          <w:p>
            <w:pPr>
              <w:pStyle w:val="ConsPlusNormal1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PT Astra Serif" w:ascii="Arial" w:hAnsi="Arial"/>
                <w:bCs/>
                <w:sz w:val="24"/>
                <w:szCs w:val="24"/>
              </w:rPr>
              <w:t>Документ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</w:t>
            </w:r>
          </w:p>
          <w:p>
            <w:pPr>
              <w:pStyle w:val="ConsPlusNormal1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PT Astra Serif" w:ascii="Arial" w:hAnsi="Arial"/>
                <w:bCs/>
                <w:sz w:val="24"/>
                <w:szCs w:val="24"/>
              </w:rPr>
              <w:t>Правоустанавливающие документы на объекты недвижимости, права на которые не зарегистрированы в Едином государственном реестре недвижимости</w:t>
            </w:r>
          </w:p>
          <w:p>
            <w:pPr>
              <w:pStyle w:val="ConsPlusNormal1"/>
              <w:widowControl w:val="false"/>
              <w:numPr>
                <w:ilvl w:val="0"/>
                <w:numId w:val="2"/>
              </w:numPr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cs="PT Astra Serif" w:ascii="Arial" w:hAnsi="Arial"/>
                <w:bCs/>
                <w:sz w:val="24"/>
                <w:szCs w:val="24"/>
              </w:rPr>
              <w:t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отклонение от предельных параметров разрешенного строительства, реконструкции объекта капитального строительства,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numPr>
                <w:ilvl w:val="0"/>
                <w:numId w:val="1"/>
              </w:numPr>
              <w:jc w:val="both"/>
              <w:rPr>
                <w:rFonts w:ascii="Arial" w:hAnsi="Arial" w:cs="PT Astra Serif"/>
                <w:bCs/>
                <w:color w:val="000000"/>
                <w:sz w:val="24"/>
                <w:szCs w:val="24"/>
              </w:rPr>
            </w:pPr>
            <w:r>
              <w:rPr>
                <w:rFonts w:cs="PT Astra Serif" w:ascii="Arial" w:hAnsi="Arial"/>
                <w:bCs/>
                <w:color w:val="000000"/>
                <w:sz w:val="24"/>
                <w:szCs w:val="24"/>
              </w:rPr>
              <w:t>выписка из ЕГРН на земельный участок для определения правообладателя из Федеральной службы государственной регистрации, кадастра и картографии</w:t>
            </w:r>
          </w:p>
          <w:p>
            <w:pPr>
              <w:pStyle w:val="ConsPlusNormal1"/>
              <w:widowControl w:val="false"/>
              <w:numPr>
                <w:ilvl w:val="0"/>
                <w:numId w:val="1"/>
              </w:numPr>
              <w:jc w:val="both"/>
              <w:rPr>
                <w:rFonts w:ascii="Arial" w:hAnsi="Arial" w:cs="PT Astra Serif"/>
                <w:bCs/>
                <w:color w:val="000000"/>
                <w:sz w:val="24"/>
                <w:szCs w:val="24"/>
              </w:rPr>
            </w:pPr>
            <w:r>
              <w:rPr>
                <w:rFonts w:cs="PT Astra Serif" w:ascii="Arial" w:hAnsi="Arial"/>
                <w:bCs/>
                <w:color w:val="000000"/>
                <w:sz w:val="24"/>
                <w:szCs w:val="24"/>
              </w:rPr>
              <w:t>выписка из ЕГРН на объект капитального строительства из Федеральной службы государственной регистрации, кадастра и картографии</w:t>
            </w:r>
          </w:p>
          <w:p>
            <w:pPr>
              <w:pStyle w:val="ConsPlusNormal1"/>
              <w:widowControl w:val="false"/>
              <w:numPr>
                <w:ilvl w:val="0"/>
                <w:numId w:val="1"/>
              </w:numPr>
              <w:jc w:val="both"/>
              <w:rPr>
                <w:rFonts w:ascii="Arial" w:hAnsi="Arial" w:cs="PT Astra Serif"/>
                <w:bCs/>
                <w:color w:val="000000"/>
                <w:sz w:val="24"/>
                <w:szCs w:val="24"/>
              </w:rPr>
            </w:pPr>
            <w:r>
              <w:rPr>
                <w:rFonts w:cs="PT Astra Serif" w:ascii="Arial" w:hAnsi="Arial"/>
                <w:bCs/>
                <w:color w:val="000000"/>
                <w:sz w:val="24"/>
                <w:szCs w:val="24"/>
              </w:rPr>
              <w:t>в случае обращения юридического лица запрашивается выписка из Единого государственного реестра юридических лиц из Федеральной налоговой службы</w:t>
            </w:r>
          </w:p>
          <w:p>
            <w:pPr>
              <w:pStyle w:val="ConsPlusNormal1"/>
              <w:widowControl w:val="false"/>
              <w:numPr>
                <w:ilvl w:val="0"/>
                <w:numId w:val="1"/>
              </w:numPr>
              <w:jc w:val="both"/>
              <w:rPr>
                <w:rFonts w:ascii="Arial" w:hAnsi="Arial" w:cs="PT Astra Serif"/>
                <w:bCs/>
                <w:color w:val="000000"/>
                <w:sz w:val="24"/>
                <w:szCs w:val="24"/>
              </w:rPr>
            </w:pPr>
            <w:r>
              <w:rPr>
                <w:rFonts w:cs="PT Astra Serif" w:ascii="Arial" w:hAnsi="Arial"/>
                <w:bCs/>
                <w:color w:val="000000"/>
                <w:sz w:val="24"/>
                <w:szCs w:val="24"/>
              </w:rPr>
              <w:t xml:space="preserve">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 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hd w:val="clear" w:fill="FFFFFF"/>
              <w:tabs>
                <w:tab w:val="clear" w:pos="720"/>
                <w:tab w:val="left" w:pos="1134" w:leader="none"/>
              </w:tabs>
              <w:spacing w:lineRule="auto" w:line="240" w:before="0" w:after="0"/>
              <w:ind w:left="0" w:right="-1" w:hanging="0"/>
              <w:contextualSpacing/>
              <w:jc w:val="both"/>
              <w:outlineLvl w:val="2"/>
              <w:rPr>
                <w:rFonts w:ascii="Arial" w:hAnsi="Arial" w:cs="PT Astra Serif"/>
                <w:bCs/>
                <w:sz w:val="24"/>
                <w:szCs w:val="24"/>
              </w:rPr>
            </w:pPr>
            <w:r>
              <w:rPr>
                <w:rFonts w:cs="PT Astra Serif" w:ascii="Arial" w:hAnsi="Arial"/>
                <w:bCs/>
                <w:sz w:val="24"/>
                <w:szCs w:val="24"/>
              </w:rPr>
              <w:t xml:space="preserve">решение о предоставлении разрешения </w:t>
            </w:r>
            <w:r>
              <w:rPr>
                <w:rFonts w:cs="PT Astra Serif" w:ascii="Arial" w:hAnsi="Arial"/>
                <w:bCs/>
                <w:sz w:val="24"/>
                <w:szCs w:val="24"/>
              </w:rPr>
              <w:t xml:space="preserve">на </w:t>
            </w:r>
            <w:r>
              <w:rPr>
                <w:rFonts w:cs="PT Astra Serif" w:ascii="Arial" w:hAnsi="Arial"/>
                <w:bCs/>
                <w:sz w:val="24"/>
                <w:szCs w:val="24"/>
              </w:rPr>
              <w:t>отклонение от предельных параметров разрешенного строительства, реконструкции объекта капитального строительства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hd w:val="clear" w:fill="FFFFFF"/>
              <w:tabs>
                <w:tab w:val="clear" w:pos="720"/>
                <w:tab w:val="left" w:pos="1134" w:leader="none"/>
              </w:tabs>
              <w:spacing w:lineRule="auto" w:line="240" w:before="0" w:after="0"/>
              <w:ind w:left="0" w:right="-1" w:hanging="0"/>
              <w:contextualSpacing/>
              <w:jc w:val="both"/>
              <w:outlineLvl w:val="2"/>
              <w:rPr>
                <w:rFonts w:ascii="Arial" w:hAnsi="Arial" w:cs="PT Astra Serif"/>
                <w:bCs/>
                <w:sz w:val="24"/>
                <w:szCs w:val="24"/>
              </w:rPr>
            </w:pPr>
            <w:r>
              <w:rPr>
                <w:rFonts w:cs="PT Astra Serif" w:ascii="Arial" w:hAnsi="Arial"/>
                <w:bCs/>
                <w:sz w:val="24"/>
                <w:szCs w:val="24"/>
              </w:rPr>
              <w:t>решение об отказе в предоставлении муниципальной услуги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suppressAutoHyphens w:val="false"/>
              <w:spacing w:lineRule="auto" w:line="240" w:beforeAutospacing="1" w:after="0"/>
              <w:ind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</w:t>
            </w:r>
            <w:r>
              <w:rPr>
                <w:rFonts w:ascii="Arial" w:hAnsi="Arial"/>
                <w:sz w:val="24"/>
                <w:szCs w:val="24"/>
              </w:rPr>
              <w:t>7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>
              <w:rPr>
                <w:rFonts w:eastAsia="Times New Roman" w:cs="Calibri" w:ascii="Arial" w:hAnsi="Arial"/>
                <w:color w:val="auto"/>
                <w:kern w:val="0"/>
                <w:sz w:val="24"/>
                <w:szCs w:val="24"/>
                <w:lang w:val="ru-RU" w:eastAsia="ru-RU" w:bidi="ar-SA"/>
              </w:rPr>
              <w:t>рабочих</w:t>
            </w:r>
            <w:r>
              <w:rPr>
                <w:rFonts w:ascii="Arial" w:hAnsi="Arial"/>
                <w:sz w:val="24"/>
                <w:szCs w:val="24"/>
              </w:rPr>
              <w:t xml:space="preserve">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88" w:beforeAutospacing="1" w:after="142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</w:rPr>
              <w:t>Нет</w:t>
            </w:r>
          </w:p>
        </w:tc>
      </w:tr>
      <w:tr>
        <w:trPr>
          <w:trHeight w:val="523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370" w:leader="none"/>
              </w:tabs>
              <w:spacing w:lineRule="auto" w:line="240" w:before="0" w:after="0"/>
              <w:ind w:right="-1" w:firstLine="709"/>
              <w:jc w:val="both"/>
              <w:rPr>
                <w:rFonts w:ascii="Arial" w:hAnsi="Arial" w:cs="PT Astra Serif"/>
                <w:bCs/>
                <w:sz w:val="24"/>
                <w:szCs w:val="24"/>
              </w:rPr>
            </w:pPr>
            <w:r>
              <w:rPr>
                <w:rFonts w:cs="PT Astra Serif" w:ascii="Arial" w:hAnsi="Arial"/>
                <w:bCs/>
                <w:sz w:val="24"/>
                <w:szCs w:val="24"/>
              </w:rPr>
              <w:t>Муниципальная услуга предоставляется заявителям бесплатно.</w:t>
            </w:r>
          </w:p>
        </w:tc>
      </w:tr>
      <w:tr>
        <w:trPr>
          <w:trHeight w:val="1090" w:hRule="atLeast"/>
        </w:trPr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b/>
                <w:b/>
                <w:color w:val="403152"/>
                <w:lang w:eastAsia="ru-RU"/>
              </w:rPr>
            </w:pPr>
            <w:r>
              <w:rPr>
                <w:rStyle w:val="FontStyle23"/>
                <w:rFonts w:eastAsia="Calibri" w:ascii="Arial" w:hAnsi="Arial"/>
                <w:b/>
                <w:color w:val="403152" w:themeColor="accent4" w:themeShade="80"/>
                <w:kern w:val="0"/>
                <w:sz w:val="24"/>
                <w:szCs w:val="24"/>
                <w:lang w:val="ru-RU" w:eastAsia="en-US" w:bidi="ar-SA"/>
              </w:rPr>
              <w:t>Срок хранения невостребованных заявителем результатов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 w:val="false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  <w:lang w:eastAsia="ru-RU"/>
              </w:rPr>
              <w:t>30 календарных дней</w:t>
            </w:r>
          </w:p>
        </w:tc>
      </w:tr>
      <w:tr>
        <w:trPr/>
        <w:tc>
          <w:tcPr>
            <w:tcW w:w="266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70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pacing w:val="-1"/>
                <w:sz w:val="24"/>
                <w:szCs w:val="24"/>
              </w:rPr>
              <w:t xml:space="preserve">Постановление Администрации Шатровского муниципального округа № </w:t>
            </w:r>
            <w:r>
              <w:rPr>
                <w:rFonts w:eastAsia="Calibri" w:cs="Arial" w:ascii="Arial" w:hAnsi="Arial"/>
                <w:color w:val="000000"/>
                <w:spacing w:val="-1"/>
                <w:kern w:val="0"/>
                <w:sz w:val="24"/>
                <w:szCs w:val="24"/>
                <w:lang w:val="ru-RU" w:eastAsia="en-US" w:bidi="ar-SA"/>
              </w:rPr>
              <w:t>172</w:t>
            </w:r>
            <w:r>
              <w:rPr>
                <w:rFonts w:cs="Arial" w:ascii="Arial" w:hAnsi="Arial"/>
                <w:color w:val="000000"/>
                <w:spacing w:val="-1"/>
                <w:sz w:val="24"/>
                <w:szCs w:val="24"/>
              </w:rPr>
              <w:t xml:space="preserve"> от </w:t>
            </w:r>
            <w:r>
              <w:rPr>
                <w:rFonts w:cs="Arial" w:ascii="Arial" w:hAnsi="Arial"/>
                <w:color w:val="000000"/>
                <w:spacing w:val="-1"/>
                <w:sz w:val="24"/>
                <w:szCs w:val="24"/>
              </w:rPr>
              <w:t>08</w:t>
            </w:r>
            <w:r>
              <w:rPr>
                <w:rFonts w:cs="Arial" w:ascii="Arial" w:hAnsi="Arial"/>
                <w:color w:val="000000"/>
                <w:spacing w:val="-1"/>
                <w:sz w:val="24"/>
                <w:szCs w:val="24"/>
              </w:rPr>
              <w:t xml:space="preserve"> апреля 2022 года </w:t>
            </w:r>
            <w:r>
              <w:rPr>
                <w:rFonts w:eastAsia="Calibri" w:cs="Arial" w:ascii="Arial" w:hAnsi="Arial"/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Об утверждении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</w:t>
            </w:r>
          </w:p>
        </w:tc>
      </w:tr>
      <w:tr>
        <w:trPr/>
        <w:tc>
          <w:tcPr>
            <w:tcW w:w="266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/>
                <w:lang w:eastAsia="ru-RU"/>
              </w:rPr>
              <w:t>Контактная информация</w:t>
            </w:r>
          </w:p>
        </w:tc>
        <w:tc>
          <w:tcPr>
            <w:tcW w:w="1270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left" w:pos="7645" w:leader="none"/>
              </w:tabs>
              <w:spacing w:lineRule="auto" w:line="240" w:before="0" w:after="0"/>
              <w:ind w:right="-199" w:hanging="0"/>
              <w:rPr>
                <w:rFonts w:ascii="PT Astra Serif" w:hAnsi="PT Astra Serif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PT Astra Serif" w:hAnsi="PT Astra Serif"/>
                <w:sz w:val="24"/>
                <w:szCs w:val="24"/>
                <w:lang w:eastAsia="en-US"/>
              </w:rPr>
              <w:t>К.П. Ядрышников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645" w:leader="none"/>
              </w:tabs>
              <w:spacing w:lineRule="auto" w:line="240" w:before="0" w:after="0"/>
              <w:ind w:right="-199" w:hanging="0"/>
              <w:rPr>
                <w:rFonts w:ascii="PT Astra Serif" w:hAnsi="PT Astra Serif" w:eastAsia="Calibri"/>
                <w:sz w:val="24"/>
                <w:szCs w:val="24"/>
                <w:lang w:eastAsia="en-US"/>
              </w:rPr>
            </w:pPr>
            <w:r>
              <w:rPr>
                <w:rFonts w:eastAsia="Calibri" w:ascii="PT Astra Serif" w:hAnsi="PT Astra Serif"/>
                <w:strike w:val="false"/>
                <w:dstrike w:val="false"/>
                <w:sz w:val="24"/>
                <w:szCs w:val="24"/>
                <w:u w:val="none"/>
                <w:lang w:eastAsia="en-US"/>
              </w:rPr>
              <w:t xml:space="preserve">8/35257/ </w:t>
            </w:r>
            <w:r>
              <w:rPr>
                <w:rFonts w:eastAsia="Calibri" w:ascii="PT Astra Serif" w:hAnsi="PT Astra Serif"/>
                <w:strike w:val="false"/>
                <w:dstrike w:val="false"/>
                <w:sz w:val="24"/>
                <w:szCs w:val="24"/>
                <w:u w:val="none"/>
                <w:lang w:eastAsia="en-US"/>
              </w:rPr>
              <w:t>9 10 04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01"/>
    <w:family w:val="swiss"/>
    <w:pitch w:val="variable"/>
  </w:font>
  <w:font w:name="PT Astra Serif">
    <w:charset w:val="cc"/>
    <w:family w:val="roman"/>
    <w:pitch w:val="variable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14"/>
      <w:szCs w:val="14"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shd w:val="clear" w:color="auto" w:fill="FFFFFF"/>
      <w:spacing w:lineRule="atLeast" w:line="0" w:before="0" w:after="240"/>
    </w:pPr>
    <w:rPr>
      <w:rFonts w:ascii="Times New Roman" w:hAnsi="Times New Roman" w:eastAsia="Times New Roman" w:cs="Times New Roman"/>
      <w:sz w:val="26"/>
      <w:szCs w:val="26"/>
    </w:rPr>
  </w:style>
  <w:style w:type="paragraph" w:styleId="Style22">
    <w:name w:val="Абзац списка"/>
    <w:basedOn w:val="Normal"/>
    <w:qFormat/>
    <w:pPr>
      <w:spacing w:before="0" w:after="200"/>
      <w:ind w:left="720" w:hanging="0"/>
      <w:contextualSpacing/>
    </w:pPr>
    <w:rPr/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Application>LibreOffice/7.0.4.2$Windows_X86_64 LibreOffice_project/dcf040e67528d9187c66b2379df5ea4407429775</Application>
  <AppVersion>15.0000</AppVersion>
  <Pages>2</Pages>
  <Words>326</Words>
  <Characters>2716</Characters>
  <CharactersWithSpaces>2995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2022-04-14T14:26:00Z</dcterms:created>
  <dc:creator>Администрация</dc:creator>
  <dc:description/>
  <dc:language>ru-RU</dc:language>
  <cp:lastModifiedBy/>
  <cp:lastPrinted>2018-08-08T10:10:00Z</cp:lastPrinted>
  <dcterms:modified xsi:type="dcterms:W3CDTF">2024-12-02T15:14:47Z</dcterms:modified>
  <cp:revision>159</cp:revision>
  <dc:subject/>
  <dc:title>КУРГАНСКАЯ ОБЛАСТЬ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