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233"/>
        <w:gridCol w:w="12129"/>
      </w:tblGrid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>Шатровского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 района</w:t>
            </w:r>
          </w:p>
        </w:tc>
      </w:tr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200"/>
              <w:ind w:left="0" w:hanging="0"/>
              <w:jc w:val="both"/>
              <w:rPr/>
            </w:pPr>
            <w:r>
              <w:rPr>
                <w:rFonts w:eastAsia="Times New Roman" w:cs="Arial" w:ascii="Arial" w:hAnsi="Arial"/>
                <w:sz w:val="22"/>
                <w:szCs w:val="22"/>
                <w:lang w:eastAsia="ru-RU"/>
              </w:rPr>
              <w:t>Физические или юридические лица</w:t>
            </w:r>
          </w:p>
        </w:tc>
      </w:tr>
      <w:tr>
        <w:trPr>
          <w:trHeight w:val="693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>Шатровского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1031" w:hRule="atLeast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FontStyle20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0"/>
                <w:szCs w:val="20"/>
                <w:u w:val="none"/>
                <w:em w:val="none"/>
                <w:lang w:bidi="ar-SA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11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40" w:before="0" w:after="140"/>
              <w:ind w:hanging="0"/>
              <w:jc w:val="center"/>
              <w:rPr/>
            </w:pPr>
            <w:r>
              <w:rPr>
                <w:rStyle w:val="FontStyle20"/>
                <w:rFonts w:eastAsia="Times New Roman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-1"/>
                <w:sz w:val="22"/>
                <w:szCs w:val="22"/>
                <w:u w:val="none"/>
                <w:em w:val="none"/>
                <w:lang w:val="ru-RU" w:eastAsia="ru-RU" w:bidi="ar-SA"/>
              </w:rPr>
              <w:t>Уведомление о планируемых строительстве или реконструкции объекта индивидуального жилищного строительства или садового дома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88" w:before="0" w:after="140"/>
              <w:ind w:hanging="0"/>
              <w:jc w:val="both"/>
              <w:rPr/>
            </w:pPr>
            <w:r>
              <w:rPr>
                <w:rStyle w:val="FontStyle20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val="ru-RU" w:eastAsia="ru-RU" w:bidi="ar-SA"/>
              </w:rPr>
              <w:t>1. У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ведомление о планируемых строительстве или реконструкции объекта индивидуального жилищного строительства или садового дома;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88" w:before="0" w:after="140"/>
              <w:ind w:hanging="0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2. Правоустанавливающие документы на земельный участок;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88" w:before="0" w:after="140"/>
              <w:ind w:hanging="0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3. Документ, подтверждающий полномочия представителя заявителя (в случае если за результатом услуги обращается представитель заявителя);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88" w:before="0" w:after="140"/>
              <w:ind w:hanging="0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      </w:r>
          </w:p>
          <w:p>
            <w:pPr>
              <w:pStyle w:val="Style23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88" w:before="0" w:after="140"/>
              <w:ind w:hanging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auto"/>
                <w:sz w:val="22"/>
                <w:szCs w:val="22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 садового дома</w:t>
            </w:r>
          </w:p>
          <w:p>
            <w:pPr>
              <w:pStyle w:val="Style23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88" w:before="0" w:after="14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2"/>
                <w:szCs w:val="22"/>
              </w:rPr>
              <w:t>1. Уведомление об изменении параметров планируемого строительства или реконструкции объекта индивидуального жилищного строительства или  садового дома;</w:t>
            </w:r>
          </w:p>
          <w:p>
            <w:pPr>
              <w:pStyle w:val="Style23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88" w:before="0" w:after="14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2"/>
                <w:szCs w:val="22"/>
              </w:rPr>
              <w:t>2. Правоустанавливающие документы на земельный участок;</w:t>
            </w:r>
          </w:p>
          <w:p>
            <w:pPr>
              <w:pStyle w:val="Style23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88" w:before="0" w:after="140"/>
              <w:ind w:hanging="0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2"/>
                <w:szCs w:val="22"/>
              </w:rPr>
              <w:t>3. Заверенный перевод на русский язык документов о государственной регистрации юридического лица.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40" w:before="0" w:after="0"/>
              <w:ind w:hanging="0"/>
              <w:jc w:val="center"/>
              <w:rPr>
                <w:rFonts w:ascii="Arial" w:hAnsi="Arial" w:eastAsiaTheme="minorEastAsia"/>
                <w:b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eastAsia="" w:cs="Arial" w:eastAsiaTheme="minorEastAsia" w:ascii="Arial" w:hAnsi="Arial"/>
                <w:b/>
                <w:bCs/>
                <w:color w:val="auto"/>
                <w:sz w:val="22"/>
                <w:szCs w:val="22"/>
                <w:highlight w:val="white"/>
              </w:rPr>
              <w:t>Выдача дубликата уведомления о планируемом строительстве</w:t>
            </w:r>
          </w:p>
          <w:p>
            <w:pPr>
              <w:pStyle w:val="Style19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pacing w:lineRule="auto" w:line="240" w:before="0" w:after="0"/>
              <w:ind w:hanging="0"/>
              <w:jc w:val="left"/>
              <w:rPr>
                <w:rFonts w:ascii="Arial" w:hAnsi="Arial" w:eastAsiaTheme="minorEastAsia"/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eastAsia="" w:cs="Arial" w:eastAsiaTheme="minorEastAsia" w:ascii="Arial" w:hAnsi="Arial"/>
                <w:b w:val="false"/>
                <w:bCs w:val="false"/>
                <w:color w:val="auto"/>
                <w:sz w:val="22"/>
                <w:szCs w:val="22"/>
                <w:highlight w:val="white"/>
              </w:rPr>
              <w:t xml:space="preserve">1. Заявление о выдаче </w:t>
            </w:r>
            <w:r>
              <w:rPr>
                <w:rFonts w:eastAsia="" w:cs="Arial" w:eastAsiaTheme="minorEastAsia" w:ascii="Arial" w:hAnsi="Arial"/>
                <w:b w:val="false"/>
                <w:bCs w:val="false"/>
                <w:color w:val="auto"/>
                <w:sz w:val="22"/>
                <w:szCs w:val="22"/>
                <w:highlight w:val="white"/>
              </w:rPr>
              <w:t>дубликата уведомления о соответствии.</w:t>
            </w:r>
          </w:p>
        </w:tc>
      </w:tr>
      <w:tr>
        <w:trPr>
          <w:trHeight w:val="758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0"/>
              <w:ind w:firstLine="567"/>
              <w:contextualSpacing/>
              <w:jc w:val="both"/>
              <w:rPr>
                <w:highlight w:val="white"/>
              </w:rPr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shd w:fill="FFFFFF" w:val="clear"/>
                <w:lang w:eastAsia="ru-RU"/>
              </w:rPr>
              <w:t>П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равоустанавливающие документы на земельный участок, права на которые зарегистрированы в Едином государственном реестре недвижимости.</w:t>
            </w:r>
          </w:p>
        </w:tc>
      </w:tr>
      <w:tr>
        <w:trPr>
          <w:trHeight w:val="834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tabs>
                <w:tab w:val="clear" w:pos="720"/>
                <w:tab w:val="left" w:pos="1134" w:leader="none"/>
              </w:tabs>
              <w:suppressAutoHyphens w:val="false"/>
              <w:spacing w:lineRule="auto" w:line="276"/>
              <w:ind w:firstLine="567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>1.</w:t>
            </w:r>
            <w:r>
              <w:rPr>
                <w:rFonts w:cs="Arial" w:ascii="Arial" w:hAnsi="Arial"/>
                <w:sz w:val="22"/>
                <w:szCs w:val="22"/>
                <w:highlight w:val="white"/>
              </w:rPr>
      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  <w:p>
            <w:pPr>
              <w:pStyle w:val="Normal"/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200"/>
              <w:ind w:firstLine="567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ascii="Arial" w:hAnsi="Arial"/>
                <w:sz w:val="22"/>
                <w:szCs w:val="22"/>
                <w:highlight w:val="white"/>
              </w:rPr>
              <w:t xml:space="preserve">2. </w:t>
            </w:r>
            <w:r>
              <w:rPr>
                <w:rFonts w:ascii="Arial" w:hAnsi="Arial"/>
                <w:sz w:val="22"/>
                <w:szCs w:val="22"/>
                <w:highlight w:val="white"/>
              </w:rPr>
              <w:t>У</w:t>
            </w:r>
            <w:r>
              <w:rPr>
                <w:rFonts w:cs="Arial" w:ascii="Arial" w:hAnsi="Arial"/>
                <w:sz w:val="22"/>
                <w:szCs w:val="22"/>
                <w:highlight w:val="white"/>
              </w:rPr>
              <w:t>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  <w:p>
            <w:pPr>
              <w:pStyle w:val="Normal"/>
              <w:widowControl/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200"/>
              <w:ind w:firstLine="567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  <w:highlight w:val="white"/>
              </w:rPr>
              <w:t>3. Н</w:t>
            </w:r>
            <w:r>
              <w:rPr>
                <w:rFonts w:cs="Arial" w:ascii="Arial" w:hAnsi="Arial"/>
                <w:color w:val="auto"/>
                <w:sz w:val="22"/>
                <w:szCs w:val="22"/>
                <w:highlight w:val="white"/>
              </w:rPr>
              <w:t>аправление повторного экземпляра (дубликата) уведомления о соответствии.</w:t>
            </w:r>
          </w:p>
        </w:tc>
      </w:tr>
      <w:tr>
        <w:trPr>
          <w:trHeight w:val="69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>7 рабочих дней</w:t>
            </w:r>
          </w:p>
        </w:tc>
      </w:tr>
      <w:tr>
        <w:trPr>
          <w:trHeight w:val="52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i/>
                <w:spacing w:val="-1"/>
                <w:sz w:val="22"/>
                <w:szCs w:val="22"/>
              </w:rPr>
              <w:t>Постановление Администрации Шатровского района от 03.10.2019 г. №322</w:t>
            </w:r>
            <w:r>
              <w:rPr>
                <w:rFonts w:ascii="Arial" w:hAnsi="Arial"/>
                <w:spacing w:val="-1"/>
                <w:sz w:val="22"/>
                <w:szCs w:val="22"/>
              </w:rPr>
              <w:t xml:space="preserve">  «</w:t>
            </w:r>
            <w:r>
              <w:rPr>
                <w:rFonts w:cs="Arial" w:ascii="Arial" w:hAnsi="Arial"/>
                <w:b/>
                <w:i/>
                <w:spacing w:val="-1"/>
                <w:sz w:val="22"/>
                <w:szCs w:val="22"/>
              </w:rPr>
              <w:t>Об утверждении Административного регламента предоставления Администрацией Шатровского района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      </w:r>
          </w:p>
          <w:p>
            <w:pPr>
              <w:pStyle w:val="Normal"/>
              <w:widowControl/>
              <w:shd w:val="clear" w:fill="FFFFFF"/>
              <w:spacing w:lineRule="auto" w:line="240" w:before="0" w:after="20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i/>
                <w:iCs w:val="false"/>
                <w:color w:val="auto"/>
                <w:spacing w:val="-1"/>
                <w:sz w:val="22"/>
                <w:szCs w:val="22"/>
              </w:rPr>
              <w:t>Постановление Администрации Шатровского района от 13 марта  № 90 «О внесении изменения в постановление Администрации Шатровского района от 03.10.2019 г. №322</w:t>
            </w:r>
            <w:r>
              <w:rPr>
                <w:rFonts w:eastAsia="Calibri" w:cs="" w:ascii="Arial" w:hAnsi="Arial"/>
                <w:b/>
                <w:i w:val="false"/>
                <w:iCs w:val="false"/>
                <w:color w:val="auto"/>
                <w:spacing w:val="-1"/>
                <w:sz w:val="22"/>
                <w:szCs w:val="22"/>
              </w:rPr>
              <w:t xml:space="preserve">  «</w:t>
            </w:r>
            <w:r>
              <w:rPr>
                <w:rFonts w:eastAsia="Calibri" w:cs="Arial" w:ascii="Arial" w:hAnsi="Arial"/>
                <w:b/>
                <w:i/>
                <w:iCs w:val="false"/>
                <w:color w:val="auto"/>
                <w:spacing w:val="-1"/>
                <w:sz w:val="22"/>
                <w:szCs w:val="22"/>
              </w:rPr>
              <w:t>Об утверждении Административного регламента предоставления Администрацией Шатровского района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WW8Num10z0">
    <w:name w:val="WW8Num10z0"/>
    <w:qFormat/>
    <w:rPr>
      <w:rFonts w:cs="Liberation San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ListLabel19">
    <w:name w:val="ListLabel 19"/>
    <w:qFormat/>
    <w:rPr>
      <w:rFonts w:cs="Liberation San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Application>LibreOffice/6.2.2.2$Windows_X86_64 LibreOffice_project/2b840030fec2aae0fd2658d8d4f9548af4e3518d</Application>
  <Pages>3</Pages>
  <Words>459</Words>
  <Characters>3781</Characters>
  <CharactersWithSpaces>4209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2020-07-14T10:06:44Z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