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Администрация 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Физические юридические лица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Администрация 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bidi="ar-SA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lineRule="auto" w:line="240" w:beforeAutospacing="1" w:after="0"/>
              <w:ind w:firstLine="708"/>
              <w:jc w:val="both"/>
              <w:rPr/>
            </w:pPr>
            <w:r>
              <w:rPr>
                <w:rFonts w:cs="Arial" w:ascii="Arial" w:hAnsi="Arial"/>
                <w:iCs/>
                <w:color w:val="000000"/>
                <w:spacing w:val="-1"/>
                <w:sz w:val="20"/>
                <w:szCs w:val="20"/>
                <w:lang w:eastAsia="ar-SA"/>
              </w:rPr>
              <w:t>Собственники жилых (нежилых) помещений, расположенных на территории муниципального образования,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услуги.</w:t>
            </w:r>
          </w:p>
        </w:tc>
      </w:tr>
      <w:tr>
        <w:trPr>
          <w:trHeight w:val="11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86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shd w:fill="FFFFFF" w:val="clear"/>
              </w:rPr>
              <w:t>Список документов, обязательных для предоставления:</w:t>
            </w:r>
          </w:p>
          <w:p>
            <w:pPr>
              <w:pStyle w:val="Textbody"/>
              <w:spacing w:before="0" w:after="0"/>
              <w:ind w:firstLine="708"/>
              <w:jc w:val="both"/>
              <w:rPr/>
            </w:pPr>
            <w:bookmarkStart w:id="0" w:name="__DdeLink__3197_181056439"/>
            <w:r>
              <w:rPr>
                <w:rFonts w:ascii="Arial" w:hAnsi="Arial"/>
                <w:sz w:val="22"/>
                <w:szCs w:val="22"/>
              </w:rPr>
              <w:t xml:space="preserve">1) </w:t>
            </w:r>
            <w:hyperlink w:anchor="P263">
              <w:r>
                <w:rPr>
                  <w:rStyle w:val="ListLabel29"/>
                  <w:rFonts w:eastAsia="Arial" w:ascii="Arial" w:hAnsi="Arial"/>
                  <w:color w:val="000000"/>
                  <w:sz w:val="22"/>
                  <w:szCs w:val="22"/>
                  <w:shd w:fill="FFFFFF" w:val="clear"/>
                </w:rPr>
                <w:t>заявление</w:t>
              </w:r>
            </w:hyperlink>
            <w:r>
              <w:rPr>
                <w:rFonts w:eastAsia="Arial" w:ascii="Arial" w:hAnsi="Arial"/>
                <w:color w:val="000000"/>
                <w:sz w:val="22"/>
                <w:szCs w:val="22"/>
                <w:shd w:fill="FFFFFF" w:val="clear"/>
              </w:rPr>
              <w:t xml:space="preserve"> о переводе помещения; 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bookmarkStart w:id="1" w:name="Par107"/>
            <w:bookmarkEnd w:id="1"/>
            <w:r>
              <w:rPr>
                <w:rFonts w:ascii="Arial" w:hAnsi="Arial"/>
                <w:sz w:val="22"/>
                <w:szCs w:val="22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bookmarkStart w:id="2" w:name="Par108"/>
            <w:bookmarkEnd w:id="2"/>
            <w:r>
              <w:rPr>
                <w:rFonts w:ascii="Arial" w:hAnsi="Arial"/>
                <w:sz w:val="22"/>
                <w:szCs w:val="22"/>
              </w:rPr>
              <w:t>3)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bookmarkStart w:id="3" w:name="Par109"/>
            <w:bookmarkEnd w:id="3"/>
            <w:r>
              <w:rPr>
                <w:rFonts w:ascii="Arial" w:hAnsi="Arial"/>
                <w:sz w:val="22"/>
                <w:szCs w:val="22"/>
              </w:rPr>
              <w:t>4) поэтажный план дома, в котором находится переводимое помещение;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7) 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</w:p>
          <w:p>
            <w:pPr>
              <w:pStyle w:val="Textbody"/>
              <w:widowControl/>
              <w:suppressAutoHyphens w:val="false"/>
              <w:spacing w:lineRule="auto" w:line="240" w:before="0" w:after="0"/>
              <w:ind w:firstLine="708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bookmarkStart w:id="4" w:name="__DdeLink__3197_181056439"/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yellow"/>
                <w:highlight w:val="white"/>
                <w:u w:val="none"/>
                <w:lang w:val="ru-RU"/>
              </w:rPr>
              <w:t>8) копия документа, удостоверяющего права (полномочия) представителя физического или юридического лица, если с заявлением о переводе обращается представитель Заявителя.</w:t>
            </w:r>
            <w:bookmarkEnd w:id="4"/>
          </w:p>
        </w:tc>
      </w:tr>
      <w:tr>
        <w:trPr>
          <w:trHeight w:val="1466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Textbody"/>
              <w:spacing w:before="0" w:after="0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      </w:r>
          </w:p>
          <w:p>
            <w:pPr>
              <w:pStyle w:val="Normal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 выписка на переводимое помещение из Управления Федеральной службы государственной регистрации, кадастра и картографии по Курганской области, если право на переводимое помещение зарегистрировано в Едином государственном реестре недвижимости;</w:t>
            </w:r>
          </w:p>
          <w:p>
            <w:pPr>
              <w:pStyle w:val="Normal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план переводимого помещения с его техническим описанием </w:t>
              <w:br/>
              <w:t>(в случае, если переводимое помещение является жилым, технический паспорт такого помещения);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08"/>
              <w:jc w:val="both"/>
              <w:rPr>
                <w:rFonts w:ascii="Arial" w:hAnsi="Arial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2"/>
                <w:szCs w:val="22"/>
              </w:rPr>
              <w:t>4) поэтажный план дома, в котором находится переводимое помещение.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trHeight w:val="84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9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fill="FFFFFF" w:val="clear"/>
              </w:rPr>
              <w:t>Результатами предоставления муниципальной услуги являются:</w:t>
            </w:r>
          </w:p>
          <w:p>
            <w:pPr>
              <w:pStyle w:val="Normal"/>
              <w:spacing w:before="0" w:after="29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fill="FFFFFF" w:val="clear"/>
              </w:rPr>
              <w:t xml:space="preserve">1) выдача (направление) решения о переводе жилого помещения в нежилое помещение и </w:t>
            </w:r>
            <w:r>
              <w:rPr>
                <w:rFonts w:ascii="Arial" w:hAnsi="Arial"/>
                <w:color w:val="000000"/>
                <w:spacing w:val="-1"/>
                <w:shd w:fill="FFFFFF" w:val="clear"/>
                <w:lang w:eastAsia="ru-RU"/>
              </w:rPr>
              <w:t>нежилого помещения в жилое помещение</w:t>
            </w:r>
            <w:r>
              <w:rPr>
                <w:rFonts w:ascii="Arial" w:hAnsi="Arial"/>
                <w:color w:val="000000"/>
                <w:shd w:fill="FFFFFF" w:val="clear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200"/>
              <w:ind w:firstLine="708"/>
              <w:jc w:val="both"/>
              <w:rPr/>
            </w:pPr>
            <w:r>
              <w:rPr>
                <w:rStyle w:val="5"/>
                <w:rFonts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eastAsia="ru-RU"/>
              </w:rPr>
              <w:t>2) выдача (направление) решения об отказе в переводе жилого помещения в нежилое помещение и нежилого помещения в жилое помещение.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45  календарных дней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0" w:right="0" w:firstLine="567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 xml:space="preserve">Постановление Администрации Шатровского района от 03.03.2020 г.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>№78  «Об утверждении Административного регламента предоставления Администрацией Шатровского района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ListLabel29">
    <w:name w:val="ListLabel 29"/>
    <w:qFormat/>
    <w:rPr>
      <w:rFonts w:ascii="PT Astra Serif" w:hAnsi="PT Astra Serif" w:eastAsia="Arial"/>
      <w:color w:val="000000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Textbody">
    <w:name w:val="Text body"/>
    <w:basedOn w:val="Normal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LibreOffice/6.2.2.2$Windows_X86_64 LibreOffice_project/2b840030fec2aae0fd2658d8d4f9548af4e3518d</Application>
  <Pages>2</Pages>
  <Words>383</Words>
  <Characters>2898</Characters>
  <CharactersWithSpaces>3246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2020-07-14T09:12:04Z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