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662"/>
        <w:gridCol w:w="12700"/>
      </w:tblGrid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D4EA6B" w:val="clear"/>
          </w:tcPr>
          <w:p>
            <w:pPr>
              <w:pStyle w:val="Normal"/>
              <w:keepNext w:val="true"/>
              <w:widowControl w:val="false"/>
              <w:suppressAutoHyphens w:val="false"/>
              <w:spacing w:lineRule="auto" w:line="240" w:beforeAutospacing="1" w:after="0"/>
              <w:ind w:left="0" w:firstLine="709"/>
              <w:jc w:val="center"/>
              <w:rPr>
                <w:rFonts w:ascii="Times New Roman" w:hAnsi="Times New Roman"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«Перевод жилого помещения в нежилое помещение и нежилого помещения в жилое помещение»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Autospacing="1" w:after="0"/>
              <w:ind w:left="0" w:firstLine="709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right="282" w:hanging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Администрация Шатровского муниципального округа Курганской области</w:t>
            </w:r>
          </w:p>
        </w:tc>
      </w:tr>
      <w:tr>
        <w:trPr>
          <w:trHeight w:val="492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pacing w:lineRule="auto" w:line="240" w:before="0" w:after="0"/>
              <w:ind w:hanging="0"/>
              <w:jc w:val="both"/>
              <w:rPr>
                <w:rFonts w:ascii="Arial" w:hAnsi="Arial" w:eastAsia="Calibri" w:cs="PT Astra Serif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color w:val="000000"/>
                <w:sz w:val="22"/>
                <w:szCs w:val="22"/>
                <w:lang w:eastAsia="en-US"/>
              </w:rPr>
              <w:t>Отдел по развитию территории, жилищно-коммунальному хозяйству и строительству Администрации Шатровского муниципального округа</w:t>
            </w:r>
          </w:p>
        </w:tc>
      </w:tr>
      <w:tr>
        <w:trPr>
          <w:trHeight w:val="774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FFD8CE" w:val="clear"/>
          </w:tcPr>
          <w:p>
            <w:pPr>
              <w:pStyle w:val="ConsPlusNormal1"/>
              <w:widowControl w:val="false"/>
              <w:shd w:val="clear" w:fill="FFFFFF"/>
              <w:tabs>
                <w:tab w:val="clear" w:pos="720"/>
                <w:tab w:val="left" w:pos="1301" w:leader="none"/>
              </w:tabs>
              <w:spacing w:lineRule="exact" w:line="267" w:before="0" w:after="0"/>
              <w:ind w:firstLine="5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Муниципальная услуга предоставляется собственнику помещения в многоквартирном доме или уполномоченному им лицу (далее - заявитель).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700" w:type="dxa"/>
            <w:tcBorders>
              <w:top w:val="single" w:sz="6" w:space="0" w:color="2A6099"/>
              <w:left w:val="single" w:sz="6" w:space="0" w:color="2A6099"/>
              <w:bottom w:val="single" w:sz="6" w:space="0" w:color="2A6099"/>
              <w:right w:val="single" w:sz="6" w:space="0" w:color="2A6099"/>
            </w:tcBorders>
            <w:shd w:fill="B4C7DC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20"/>
                <w:tab w:val="left" w:pos="1301" w:leader="none"/>
              </w:tabs>
              <w:spacing w:lineRule="exact" w:line="267" w:before="0" w:after="0"/>
              <w:ind w:left="0" w:firstLine="709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Физические, юридические лица, в том числе уполномоченые лица (законные представители, по доверенности)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Подуслуги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trike w:val="false"/>
                <w:dstrike w:val="false"/>
                <w:sz w:val="22"/>
                <w:szCs w:val="22"/>
                <w:u w:val="none"/>
              </w:rPr>
              <w:t>нет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numPr>
                <w:ilvl w:val="0"/>
                <w:numId w:val="2"/>
              </w:numPr>
              <w:ind w:hanging="0"/>
              <w:jc w:val="both"/>
              <w:rPr>
                <w:rFonts w:ascii="Arial" w:hAnsi="Arial" w:cs="PT Astra Serif"/>
                <w:bCs/>
                <w:sz w:val="22"/>
                <w:szCs w:val="22"/>
              </w:rPr>
            </w:pPr>
            <w:r>
              <w:rPr>
                <w:rFonts w:cs="PT Astra Serif" w:ascii="Arial" w:hAnsi="Arial"/>
                <w:bCs/>
                <w:sz w:val="22"/>
                <w:szCs w:val="22"/>
              </w:rPr>
              <w:t>заявление о переводе помещения</w:t>
            </w:r>
          </w:p>
          <w:p>
            <w:pPr>
              <w:pStyle w:val="ConsPlusNormal1"/>
              <w:widowControl w:val="false"/>
              <w:numPr>
                <w:ilvl w:val="0"/>
                <w:numId w:val="2"/>
              </w:numPr>
              <w:ind w:hanging="0"/>
              <w:jc w:val="both"/>
              <w:rPr>
                <w:rFonts w:ascii="Arial" w:hAnsi="Arial" w:cs="PT Astra Serif"/>
                <w:bCs/>
                <w:sz w:val="22"/>
                <w:szCs w:val="22"/>
              </w:rPr>
            </w:pPr>
            <w:r>
              <w:rPr>
                <w:rFonts w:cs="PT Astra Serif" w:ascii="Arial" w:hAnsi="Arial"/>
                <w:bCs/>
                <w:sz w:val="22"/>
                <w:szCs w:val="22"/>
              </w:rPr>
              <w:t xml:space="preserve">правоустанавливающие документы на переводимое помещение (подлинники или засвидетельствованные в нотариальном порядке копии), </w:t>
            </w:r>
            <w:r>
              <w:rPr>
                <w:rFonts w:cs="PT Astra Serif" w:ascii="Arial" w:hAnsi="Arial"/>
                <w:bCs/>
                <w:sz w:val="22"/>
                <w:szCs w:val="22"/>
              </w:rPr>
              <w:t>в случае если право собственности не зарегистрировано в ЕГРН</w:t>
            </w:r>
          </w:p>
          <w:p>
            <w:pPr>
              <w:pStyle w:val="ConsPlusNormal1"/>
              <w:widowControl w:val="false"/>
              <w:numPr>
                <w:ilvl w:val="0"/>
                <w:numId w:val="2"/>
              </w:numPr>
              <w:ind w:hanging="0"/>
              <w:jc w:val="both"/>
              <w:rPr>
                <w:rFonts w:ascii="Arial" w:hAnsi="Arial" w:cs="PT Astra Serif"/>
                <w:bCs/>
                <w:sz w:val="22"/>
                <w:szCs w:val="22"/>
              </w:rPr>
            </w:pPr>
            <w:r>
              <w:rPr>
                <w:rFonts w:cs="PT Astra Serif" w:ascii="Arial" w:hAnsi="Arial"/>
                <w:bCs/>
                <w:sz w:val="22"/>
                <w:szCs w:val="22"/>
              </w:rPr>
              <w:t>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      </w:r>
          </w:p>
          <w:p>
            <w:pPr>
              <w:pStyle w:val="ConsPlusNormal1"/>
              <w:widowControl w:val="false"/>
              <w:numPr>
                <w:ilvl w:val="0"/>
                <w:numId w:val="2"/>
              </w:numPr>
              <w:ind w:hanging="0"/>
              <w:jc w:val="both"/>
              <w:rPr>
                <w:rFonts w:ascii="Arial" w:hAnsi="Arial" w:cs="PT Astra Serif"/>
                <w:bCs/>
                <w:sz w:val="22"/>
                <w:szCs w:val="22"/>
              </w:rPr>
            </w:pPr>
            <w:r>
              <w:rPr>
                <w:rFonts w:cs="PT Astra Serif" w:ascii="Arial" w:hAnsi="Arial"/>
                <w:bCs/>
                <w:sz w:val="22"/>
                <w:szCs w:val="22"/>
              </w:rPr>
              <w:t>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</w:t>
            </w:r>
          </w:p>
          <w:p>
            <w:pPr>
              <w:pStyle w:val="ConsPlusNormal1"/>
              <w:widowControl w:val="false"/>
              <w:numPr>
                <w:ilvl w:val="0"/>
                <w:numId w:val="2"/>
              </w:numPr>
              <w:ind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PT Astra Serif" w:ascii="Arial" w:hAnsi="Arial"/>
                <w:bCs/>
                <w:sz w:val="22"/>
                <w:szCs w:val="22"/>
              </w:rPr>
              <w:t>согласие каждого собственника всех помещений, примыкающих к переводимому помещению, на перевод жилого помещения в нежилое помещение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numPr>
                <w:ilvl w:val="0"/>
                <w:numId w:val="2"/>
              </w:numPr>
              <w:ind w:hanging="0"/>
              <w:jc w:val="both"/>
              <w:rPr>
                <w:rFonts w:ascii="Arial" w:hAnsi="Arial" w:cs="PT Astra Serif"/>
                <w:bCs/>
                <w:sz w:val="22"/>
                <w:szCs w:val="22"/>
              </w:rPr>
            </w:pPr>
            <w:r>
              <w:rPr>
                <w:rFonts w:cs="PT Astra Serif" w:ascii="Arial" w:hAnsi="Arial"/>
                <w:bCs/>
                <w:sz w:val="22"/>
                <w:szCs w:val="22"/>
              </w:rPr>
              <w:t>план переводимого помещения с его техническим описанием (в случае, если переводимое помещение является жилым, технический паспорт такого помещения)</w:t>
            </w:r>
          </w:p>
          <w:p>
            <w:pPr>
              <w:pStyle w:val="ConsPlusNormal1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/>
              <w:jc w:val="both"/>
              <w:rPr>
                <w:rFonts w:ascii="Arial" w:hAnsi="Arial" w:cs="PT Astra Serif"/>
                <w:bCs/>
                <w:color w:val="000000"/>
                <w:sz w:val="22"/>
                <w:szCs w:val="22"/>
              </w:rPr>
            </w:pPr>
            <w:r>
              <w:rPr>
                <w:rFonts w:cs="PT Astra Serif" w:ascii="Arial" w:hAnsi="Arial"/>
                <w:bCs/>
                <w:color w:val="000000"/>
                <w:sz w:val="22"/>
                <w:szCs w:val="22"/>
              </w:rPr>
              <w:t>поэтажный план дома, в котором находится переводимое помещение</w:t>
            </w:r>
          </w:p>
          <w:p>
            <w:pPr>
              <w:pStyle w:val="ConsPlusNormal1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/>
              <w:jc w:val="both"/>
              <w:rPr>
                <w:rFonts w:ascii="Arial" w:hAnsi="Arial" w:cs="PT Astra Serif"/>
                <w:bCs/>
                <w:color w:val="000000"/>
                <w:sz w:val="22"/>
                <w:szCs w:val="22"/>
              </w:rPr>
            </w:pPr>
            <w:r>
              <w:rPr>
                <w:rFonts w:cs="PT Astra Serif" w:ascii="Arial" w:hAnsi="Arial"/>
                <w:bCs/>
                <w:color w:val="000000"/>
                <w:sz w:val="22"/>
                <w:szCs w:val="22"/>
              </w:rPr>
              <w:t xml:space="preserve">правоустанавливающие документы на переводимое помещение (подлинники или засвидетельствованные в нотариальном порядке копии), </w:t>
            </w:r>
            <w:r>
              <w:rPr>
                <w:rFonts w:cs="PT Astra Serif" w:ascii="Arial" w:hAnsi="Arial"/>
                <w:bCs/>
                <w:color w:val="000000"/>
                <w:sz w:val="22"/>
                <w:szCs w:val="22"/>
              </w:rPr>
              <w:t>в случае если право собственности  зарегистрировано в ЕГРН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numPr>
                <w:ilvl w:val="0"/>
                <w:numId w:val="1"/>
              </w:numPr>
              <w:shd w:val="clear" w:fill="FFFFFF"/>
              <w:tabs>
                <w:tab w:val="clear" w:pos="720"/>
                <w:tab w:val="left" w:pos="1417" w:leader="none"/>
              </w:tabs>
              <w:spacing w:lineRule="auto" w:line="240" w:before="0" w:after="0"/>
              <w:jc w:val="both"/>
              <w:rPr>
                <w:rFonts w:ascii="Arial" w:hAnsi="Arial" w:cs="PT Astra Serif"/>
                <w:bCs/>
                <w:sz w:val="22"/>
                <w:szCs w:val="22"/>
              </w:rPr>
            </w:pPr>
            <w:r>
              <w:rPr>
                <w:rFonts w:cs="PT Astra Serif" w:ascii="Arial" w:hAnsi="Arial"/>
                <w:bCs/>
                <w:sz w:val="22"/>
                <w:szCs w:val="22"/>
              </w:rPr>
              <w:t>Р</w:t>
            </w:r>
            <w:r>
              <w:rPr>
                <w:rFonts w:cs="PT Astra Serif" w:ascii="Arial" w:hAnsi="Arial"/>
                <w:bCs/>
                <w:sz w:val="22"/>
                <w:szCs w:val="22"/>
              </w:rPr>
              <w:t>ешение о переводе жилого помещения в нежилое помещение и нежилого помещения в жилое помещение</w:t>
            </w:r>
          </w:p>
          <w:p>
            <w:pPr>
              <w:pStyle w:val="ConsPlusNormal1"/>
              <w:widowControl w:val="false"/>
              <w:numPr>
                <w:ilvl w:val="0"/>
                <w:numId w:val="1"/>
              </w:numPr>
              <w:shd w:val="clear" w:fill="FFFFFF"/>
              <w:tabs>
                <w:tab w:val="clear" w:pos="720"/>
                <w:tab w:val="left" w:pos="1417" w:leader="none"/>
              </w:tabs>
              <w:spacing w:lineRule="auto" w:line="240" w:before="0" w:after="0"/>
              <w:jc w:val="both"/>
              <w:rPr>
                <w:rFonts w:ascii="Arial" w:hAnsi="Arial" w:cs="PT Astra Serif"/>
                <w:bCs/>
                <w:sz w:val="22"/>
                <w:szCs w:val="22"/>
              </w:rPr>
            </w:pPr>
            <w:r>
              <w:rPr>
                <w:rFonts w:cs="PT Astra Serif" w:ascii="Arial" w:hAnsi="Arial"/>
                <w:bCs/>
                <w:sz w:val="22"/>
                <w:szCs w:val="22"/>
              </w:rPr>
              <w:t>Р</w:t>
            </w:r>
            <w:r>
              <w:rPr>
                <w:rFonts w:cs="PT Astra Serif" w:ascii="Arial" w:hAnsi="Arial"/>
                <w:bCs/>
                <w:sz w:val="22"/>
                <w:szCs w:val="22"/>
              </w:rPr>
              <w:t>ешение  об отказе в переводе жилого помещения в нежилое помещение и нежилого помещения в жилое помещение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uppressAutoHyphens w:val="false"/>
              <w:spacing w:lineRule="auto" w:line="240" w:beforeAutospacing="1" w:after="0"/>
              <w:ind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45 календарных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Autospacing="1" w:after="142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Нет </w:t>
            </w:r>
          </w:p>
        </w:tc>
      </w:tr>
      <w:tr>
        <w:trPr>
          <w:trHeight w:val="523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 w:cs="PT Astra Serif"/>
                <w:bCs/>
                <w:sz w:val="22"/>
                <w:szCs w:val="22"/>
              </w:rPr>
            </w:pPr>
            <w:r>
              <w:rPr>
                <w:rFonts w:cs="PT Astra Serif" w:ascii="Arial" w:hAnsi="Arial"/>
                <w:bCs/>
                <w:sz w:val="22"/>
                <w:szCs w:val="22"/>
              </w:rPr>
              <w:t>Предоставление муниципальной услуги осуществляется бесплатно</w:t>
            </w:r>
          </w:p>
        </w:tc>
      </w:tr>
      <w:tr>
        <w:trPr>
          <w:trHeight w:val="1090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403152"/>
                <w:lang w:eastAsia="ru-RU"/>
              </w:rPr>
            </w:pPr>
            <w:r>
              <w:rPr>
                <w:rStyle w:val="FontStyle23"/>
                <w:rFonts w:eastAsia="Calibri" w:ascii="Arial" w:hAnsi="Arial"/>
                <w:b/>
                <w:color w:val="403152" w:themeColor="accent4" w:themeShade="80"/>
                <w:kern w:val="0"/>
                <w:sz w:val="24"/>
                <w:szCs w:val="24"/>
                <w:lang w:val="ru-RU" w:eastAsia="en-US" w:bidi="ar-SA"/>
              </w:rPr>
              <w:t>Срок хранения невостребованных заявителем результатов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eastAsia="ru-RU"/>
              </w:rPr>
              <w:t>30 календарных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pacing w:val="-1"/>
                <w:sz w:val="22"/>
                <w:szCs w:val="22"/>
              </w:rPr>
              <w:t xml:space="preserve">Постановление Администрации Шатровского муниципального округа № 204 от 19 апреля 2022 года </w:t>
            </w:r>
            <w:r>
              <w:rPr>
                <w:rFonts w:cs="Arial" w:ascii="Times New Roman" w:hAnsi="Times New Roman"/>
                <w:bCs/>
                <w:color w:val="000000"/>
                <w:spacing w:val="-1"/>
                <w:sz w:val="24"/>
                <w:szCs w:val="24"/>
              </w:rPr>
              <w:t>Об утверждении Административного регламента предоставления  муниципальной услуги «</w:t>
            </w:r>
            <w:r>
              <w:rPr>
                <w:rFonts w:cs="Arial" w:ascii="Times New Roman" w:hAnsi="Times New Roman"/>
                <w:color w:val="000000"/>
                <w:spacing w:val="-1"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  <w:r>
              <w:rPr>
                <w:rFonts w:cs="Arial" w:ascii="Times New Roman" w:hAnsi="Times New Roman"/>
                <w:bCs/>
                <w:color w:val="000000"/>
                <w:spacing w:val="-1"/>
                <w:sz w:val="24"/>
                <w:szCs w:val="24"/>
              </w:rPr>
              <w:t>»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Контактная информация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7645" w:leader="none"/>
              </w:tabs>
              <w:spacing w:lineRule="auto" w:line="240" w:before="0" w:after="0"/>
              <w:ind w:right="-199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Т.С. Александрова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7645" w:leader="none"/>
              </w:tabs>
              <w:spacing w:lineRule="auto" w:line="240" w:before="0" w:after="0"/>
              <w:ind w:right="-199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trike w:val="false"/>
                <w:dstrike w:val="false"/>
                <w:sz w:val="24"/>
                <w:szCs w:val="24"/>
                <w:u w:val="none"/>
              </w:rPr>
              <w:t xml:space="preserve">8/35257/ </w:t>
            </w:r>
            <w:r>
              <w:rPr>
                <w:rFonts w:ascii="Times New Roman" w:hAnsi="Times New Roman"/>
                <w:strike w:val="false"/>
                <w:dstrike w:val="false"/>
                <w:sz w:val="24"/>
                <w:szCs w:val="24"/>
                <w:u w:val="none"/>
              </w:rPr>
              <w:t>9 11 78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 Unicode MS">
    <w:charset w:val="cc"/>
    <w:family w:val="roman"/>
    <w:pitch w:val="variable"/>
  </w:font>
  <w:font w:name="Arial">
    <w:charset w:val="cc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ConsPlusNormal" w:customStyle="1">
    <w:name w:val="ConsPlusNormal Знак"/>
    <w:link w:val="ConsPlusNormal"/>
    <w:qFormat/>
    <w:locked/>
    <w:rsid w:val="00523e67"/>
    <w:rPr>
      <w:rFonts w:ascii="Calibri" w:hAnsi="Calibri" w:eastAsia="Times New Roman" w:cs="Calibri"/>
      <w:szCs w:val="20"/>
      <w:lang w:eastAsia="ru-RU"/>
    </w:rPr>
  </w:style>
  <w:style w:type="character" w:styleId="Blk" w:customStyle="1">
    <w:name w:val="blk"/>
    <w:basedOn w:val="DefaultParagraphFont"/>
    <w:qFormat/>
    <w:rsid w:val="00f847f9"/>
    <w:rPr/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14"/>
      <w:szCs w:val="14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Символ нумерации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ConsPlusDocList" w:customStyle="1">
    <w:name w:val="ConsPlusDocList"/>
    <w:qFormat/>
    <w:rsid w:val="00587e2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21" w:customStyle="1">
    <w:name w:val="Style12"/>
    <w:basedOn w:val="Normal"/>
    <w:uiPriority w:val="99"/>
    <w:qFormat/>
    <w:rsid w:val="000e65f9"/>
    <w:pPr>
      <w:widowControl w:val="false"/>
      <w:spacing w:lineRule="auto" w:line="240" w:before="0" w:after="0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paragraph" w:styleId="1" w:customStyle="1">
    <w:name w:val="Обычная таблиц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ar-SA"/>
    </w:rPr>
  </w:style>
  <w:style w:type="paragraph" w:styleId="11">
    <w:name w:val="Основной текст1"/>
    <w:basedOn w:val="Normal"/>
    <w:qFormat/>
    <w:pPr>
      <w:shd w:val="clear" w:color="auto" w:fill="FFFFFF"/>
      <w:spacing w:lineRule="atLeast" w:line="0" w:before="0" w:after="240"/>
    </w:pPr>
    <w:rPr>
      <w:rFonts w:ascii="Times New Roman" w:hAnsi="Times New Roman" w:eastAsia="Times New Roman" w:cs="Times New Roman"/>
      <w:sz w:val="26"/>
      <w:szCs w:val="26"/>
    </w:rPr>
  </w:style>
  <w:style w:type="paragraph" w:styleId="Style22">
    <w:name w:val="Абзац списка"/>
    <w:basedOn w:val="Normal"/>
    <w:qFormat/>
    <w:pPr>
      <w:spacing w:before="0" w:after="200"/>
      <w:ind w:left="720" w:hanging="0"/>
      <w:contextualSpacing/>
    </w:pPr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Application>LibreOffice/7.0.4.2$Windows_X86_64 LibreOffice_project/dcf040e67528d9187c66b2379df5ea4407429775</Application>
  <AppVersion>15.0000</AppVersion>
  <Pages>2</Pages>
  <Words>320</Words>
  <Characters>2326</Characters>
  <CharactersWithSpaces>2602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2022-04-14T14:26:00Z</dcterms:created>
  <dc:creator>Администрация</dc:creator>
  <dc:description/>
  <dc:language>ru-RU</dc:language>
  <cp:lastModifiedBy/>
  <cp:lastPrinted>2018-08-08T10:10:00Z</cp:lastPrinted>
  <dcterms:modified xsi:type="dcterms:W3CDTF">2024-12-02T10:25:49Z</dcterms:modified>
  <cp:revision>157</cp:revision>
  <dc:subject/>
  <dc:title>КУРГАНСКАЯ ОБЛАСТЬ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