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Заявителями на получение муниципальной услуги являются физические или юридические лица, являющиеся нанимателями, либо арендаторами, либо собственниками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интересы.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510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bidi="ar-SA"/>
              </w:rPr>
              <w:t>Согласование переустройства и (или) перепланировки помещения в многоквартирном доме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Cs/>
                <w:color w:val="000000"/>
                <w:spacing w:val="-1"/>
                <w:sz w:val="22"/>
                <w:szCs w:val="22"/>
                <w:lang w:eastAsia="ar-SA"/>
              </w:rPr>
              <w:t>Собственники жилых (нежилых) помещений, расположенных на территории муниципального образования.</w:t>
            </w:r>
          </w:p>
        </w:tc>
      </w:tr>
      <w:tr>
        <w:trPr>
          <w:trHeight w:val="11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31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sz w:val="22"/>
                <w:szCs w:val="22"/>
                <w:u w:val="singl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 xml:space="preserve">1. Переустройство или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>перепланировка  помещения  в многоквартирном доме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highlight w:val="whit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а.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Заявление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1"/>
                <w:sz w:val="20"/>
                <w:szCs w:val="20"/>
                <w:highlight w:val="white"/>
                <w:u w:val="none"/>
                <w:lang w:val="ru-RU"/>
              </w:rPr>
              <w:t>о переустройстве и (или) перепланировке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б.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Правоустанавливающие документы на помещением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(если указанные документы (их копии или сведения, содержащиеся в них) отсутствуют в Едином государственном реестре недвижимости);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в.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План переводимого помещения с его техническим описанием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(в случае если переводимое помещение является жилым, технический паспорт такого помещения);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г.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поэтажный план дома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(в котором находится переводимое помещение)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д.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Проект переустройства и (или) перепланировки переводимого помещения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  <w:highlight w:val="white"/>
              </w:rPr>
              <w:t>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е.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Протокол общего собрания собственников помещений в многоквартирном доме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  <w:highlight w:val="white"/>
              </w:rPr>
              <w:t>(содержащий решение об их согласии на перевод жилого помещения в нежилое помещение)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ж.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</w:tc>
      </w:tr>
      <w:tr>
        <w:trPr>
          <w:trHeight w:val="1466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1. Правоустанавливающие документы на переводимое помещение, если право на него зарегистрировано в Едином государственном реестре недвижимости;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2.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Theme="minorHAnsi" w:cstheme="minorBidi" w:eastAsiaTheme="minorHAnsi" w:hAnsiTheme="minorHAnsi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3.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Технический паспорт переустраиваемого и (или) перепланируемого жилого помещения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.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cs="Arial"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trHeight w:val="84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 xml:space="preserve">1. </w:t>
            </w:r>
            <w:r>
              <w:rPr>
                <w:rStyle w:val="5"/>
                <w:rFonts w:cs="Arial" w:ascii="Arial" w:hAnsi="Arial"/>
                <w:color w:val="000000"/>
                <w:spacing w:val="-1"/>
                <w:sz w:val="22"/>
                <w:szCs w:val="22"/>
                <w:highlight w:val="white"/>
                <w:lang w:eastAsia="ru-RU"/>
              </w:rPr>
              <w:t>Решение о согласовании переустройства и (или) перепланировки  жилого помещения</w:t>
            </w:r>
          </w:p>
          <w:p>
            <w:pPr>
              <w:pStyle w:val="Normal"/>
              <w:widowControl/>
              <w:suppressAutoHyphens w:val="false"/>
              <w:spacing w:before="0" w:after="200"/>
              <w:rPr/>
            </w:pPr>
            <w:r>
              <w:rPr>
                <w:rStyle w:val="5"/>
                <w:rFonts w:cs="Arial" w:ascii="Arial" w:hAnsi="Arial"/>
                <w:sz w:val="22"/>
                <w:szCs w:val="22"/>
                <w:highlight w:val="white"/>
              </w:rPr>
              <w:t xml:space="preserve">2. </w:t>
            </w:r>
            <w:r>
              <w:rPr>
                <w:rStyle w:val="5"/>
                <w:rFonts w:cs="Arial" w:ascii="Arial" w:hAnsi="Arial"/>
                <w:color w:val="000000"/>
                <w:spacing w:val="-1"/>
                <w:sz w:val="22"/>
                <w:szCs w:val="22"/>
                <w:highlight w:val="white"/>
                <w:lang w:eastAsia="ru-RU"/>
              </w:rPr>
              <w:t>Решение об отказе согласовании переустройства и (или) перепланировки  жилого помещения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45  календарных дней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before="0" w:after="200"/>
              <w:ind w:left="0" w:right="0" w:firstLine="567"/>
              <w:jc w:val="both"/>
              <w:rPr/>
            </w:pPr>
            <w:bookmarkStart w:id="0" w:name="__DdeLink__38128_2889315848"/>
            <w:r>
              <w:rPr>
                <w:rStyle w:val="FontStyle20"/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Постановление Администрации Шатровского района от 23 января 2020 года №16 «Об утверждении Административного регламента предоставления Администрацией Шатровского района муниципальной услуги «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</w:rPr>
              <w:t>Согласование переустройства и (или) перепланировки помещения в многоквартирном доме»</w:t>
            </w:r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LibreOffice/6.2.2.2$Windows_X86_64 LibreOffice_project/2b840030fec2aae0fd2658d8d4f9548af4e3518d</Application>
  <Pages>2</Pages>
  <Words>353</Words>
  <Characters>2676</Characters>
  <CharactersWithSpaces>2998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2020-07-14T08:47:09Z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