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highlight w:val="white"/>
                <w:lang w:val="ru-RU"/>
              </w:rPr>
              <w:t>Далматовского района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  <w:t>Физические и юридические лица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val="ru-RU" w:bidi="ar-SA"/>
              </w:rPr>
              <w:t xml:space="preserve">Администрация 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val="ru-RU" w:bidi="ar-SA"/>
              </w:rPr>
              <w:t>Далматовского района</w:t>
            </w:r>
          </w:p>
        </w:tc>
      </w:tr>
      <w:tr>
        <w:trPr>
          <w:trHeight w:val="510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bidi="ar-SA"/>
              </w:rPr>
              <w:t>«</w:t>
            </w:r>
            <w:r>
              <w:rPr>
                <w:rStyle w:val="5"/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highlight w:val="white"/>
                <w:u w:val="none"/>
                <w:em w:val="none"/>
                <w:lang w:bidi="ar-SA"/>
              </w:rPr>
              <w:t>Перевод жилого помещения в нежилое помещение и нежилого помещение в жилое помещение</w:t>
            </w: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bidi="ar-SA"/>
              </w:rPr>
              <w:t>»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iCs/>
                <w:color w:val="000000"/>
                <w:spacing w:val="-1"/>
                <w:sz w:val="22"/>
                <w:szCs w:val="22"/>
                <w:highlight w:val="white"/>
                <w:lang w:eastAsia="ar-SA"/>
              </w:rPr>
              <w:t>Собственники жилых (нежилых) помещений, расположенных на территории муниципального образования.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31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u w:val="single"/>
                <w:lang w:val="ru-RU"/>
              </w:rPr>
              <w:t xml:space="preserve">1. Переустройство или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u w:val="single"/>
                <w:lang w:val="ru-RU"/>
              </w:rPr>
              <w:t>перепланировка  помещения  в многоквартирном доме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а.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Заявление о переводе помещения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б.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 Правоустанавливающие документы на помещением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(если указанные документы (их копии или сведения, содержащиеся в них) отсутствуют в Едином государственном реестре недвижимости);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в.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 План переводимого помещения с его техническим описанием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(в случае если переводимое помещение является жилым, технический паспорт такого помещения);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г.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 поэтажный план дома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 (в котором находится переводимое помещение)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;</w:t>
            </w:r>
          </w:p>
          <w:p>
            <w:pPr>
              <w:pStyle w:val="Normal"/>
              <w:widowControl/>
              <w:suppressAutoHyphens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highlight w:val="white"/>
              </w:rPr>
              <w:t>д.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 xml:space="preserve"> Проект переустройства и (или) перепланировки переводимого помещения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  <w:highlight w:val="white"/>
              </w:rPr>
              <w:t>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;</w:t>
            </w:r>
          </w:p>
          <w:p>
            <w:pPr>
              <w:pStyle w:val="Normal"/>
              <w:widowControl/>
              <w:suppressAutoHyphens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highlight w:val="white"/>
              </w:rPr>
              <w:t>е.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 xml:space="preserve"> Протокол общего собрания собственников помещений в многоквартирном доме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  <w:highlight w:val="white"/>
              </w:rPr>
              <w:t>(содержащий решение об их согласии на перевод жилого помещения в нежилое помещение)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;</w:t>
            </w:r>
          </w:p>
          <w:p>
            <w:pPr>
              <w:pStyle w:val="Normal"/>
              <w:widowControl/>
              <w:suppressAutoHyphens w:val="false"/>
              <w:spacing w:before="0" w:after="20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ж.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  <w:p>
            <w:pPr>
              <w:pStyle w:val="Style110"/>
              <w:widowControl/>
              <w:suppressAutoHyphens w:val="false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highlight w:val="white"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u w:val="single"/>
                <w:lang w:val="ru-RU"/>
              </w:rPr>
              <w:t>2. Выдача дубликата решения переустройства или перепланировки помещения в многоквартирном доме</w:t>
            </w:r>
          </w:p>
          <w:p>
            <w:pPr>
              <w:pStyle w:val="Style110"/>
              <w:widowControl/>
              <w:suppressAutoHyphens w:val="false"/>
              <w:spacing w:before="0" w:after="20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lang w:val="ru-RU"/>
              </w:rPr>
              <w:t>Заявление о выдаче дубликата решения переустройства или перепланировки</w:t>
            </w:r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highlight w:val="white"/>
              </w:rPr>
              <w:t xml:space="preserve">1.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Правоустанавливающие документы на переводимое помещение, если право на него зарегистрировано в Едином государственном реестре недвижимости;</w:t>
            </w:r>
          </w:p>
          <w:p>
            <w:pPr>
              <w:pStyle w:val="Normal"/>
              <w:widowControl/>
              <w:suppressAutoHyphens w:val="false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highlight w:val="white"/>
              </w:rPr>
              <w:t xml:space="preserve">2.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>
            <w:pPr>
              <w:pStyle w:val="Normal"/>
              <w:widowControl/>
              <w:suppressAutoHyphens w:val="false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highlight w:val="white"/>
              </w:rPr>
              <w:t>3.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 xml:space="preserve"> Поэтажный план дома, в котором находится переводимое помещение.</w:t>
            </w:r>
          </w:p>
          <w:p>
            <w:pPr>
              <w:pStyle w:val="Normal"/>
              <w:widowControl/>
              <w:suppressAutoHyphens w:val="false"/>
              <w:spacing w:before="0" w:after="0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</w:r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1. Выдача уведомления о  переводе жилого помещения в нежилое помещение и </w:t>
            </w:r>
            <w:r>
              <w:rPr>
                <w:rStyle w:val="5"/>
                <w:rFonts w:cs="Arial" w:ascii="Arial" w:hAnsi="Arial"/>
                <w:spacing w:val="-1"/>
                <w:sz w:val="22"/>
                <w:szCs w:val="22"/>
                <w:lang w:eastAsia="ru-RU"/>
              </w:rPr>
              <w:t>нежилого помещения в жилое помещение.</w:t>
            </w:r>
          </w:p>
          <w:p>
            <w:pPr>
              <w:pStyle w:val="Normal"/>
              <w:widowControl/>
              <w:suppressAutoHyphens w:val="false"/>
              <w:spacing w:before="0" w:after="200"/>
              <w:rPr/>
            </w:pPr>
            <w:r>
              <w:rPr>
                <w:rStyle w:val="5"/>
                <w:rFonts w:cs="Arial" w:ascii="Arial" w:hAnsi="Arial"/>
                <w:sz w:val="22"/>
                <w:szCs w:val="22"/>
              </w:rPr>
              <w:t xml:space="preserve">2. Выдача (направление) решения об отказе в переводе жилого помещения в нежилое помещение и </w:t>
            </w:r>
            <w:r>
              <w:rPr>
                <w:rStyle w:val="5"/>
                <w:rFonts w:cs="Arial" w:ascii="Arial" w:hAnsi="Arial"/>
                <w:spacing w:val="-1"/>
                <w:sz w:val="22"/>
                <w:szCs w:val="22"/>
                <w:lang w:eastAsia="ru-RU"/>
              </w:rPr>
              <w:t>нежилого помещения в жилое помещение.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lang w:val="ru-RU" w:eastAsia="ru-RU"/>
              </w:rPr>
              <w:t>45  календарных дней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val="clear" w:fill="FFFFFF"/>
              <w:spacing w:before="0" w:after="200"/>
              <w:ind w:left="0" w:right="0" w:firstLine="567"/>
              <w:jc w:val="both"/>
              <w:rPr/>
            </w:pPr>
            <w:bookmarkStart w:id="0" w:name="__DdeLink__38128_2889315848"/>
            <w:r>
              <w:rPr>
                <w:rStyle w:val="FontStyle20"/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Постановление Администрации Далматовского района от 13 марта   2020  года № 251 «</w:t>
            </w:r>
            <w:r>
              <w:rPr>
                <w:rStyle w:val="5"/>
                <w:rFonts w:cs="Arial" w:ascii="Arial" w:hAnsi="Arial"/>
                <w:b/>
                <w:bCs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</w:rPr>
              <w:t>Об утверждении Административного регламента предоставления Администрацией Далматовского района муниципальной услуги «Перевод жилого помещения в нежилое помещение и нежилого помещение в жилое помещение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»</w:t>
            </w:r>
            <w:bookmarkEnd w:id="0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131">
    <w:name w:val="Style13"/>
    <w:basedOn w:val="Normal"/>
    <w:qFormat/>
    <w:pPr>
      <w:spacing w:lineRule="exact" w:line="166"/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Application>LibreOffice/6.2.2.2$Windows_X86_64 LibreOffice_project/2b840030fec2aae0fd2658d8d4f9548af4e3518d</Application>
  <Pages>2</Pages>
  <Words>333</Words>
  <Characters>2451</Characters>
  <CharactersWithSpaces>2753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2020-07-09T15:19:00Z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