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 рамках Услуги может быть предоставлена информация в отношении: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а) находящегося в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б) 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законом от 03.11.2006 №174-ФЗ «Об автономных учреждениях»;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в)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муниципальным образованиям, иных юридических лиц, учредителем (участником) которых является муниципальное образование.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Комитет имущественных и земельных отношений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Л</w:t>
            </w:r>
            <w:r>
              <w:rPr>
                <w:rFonts w:cs="Arial" w:ascii="Arial" w:hAnsi="Arial"/>
                <w:sz w:val="22"/>
                <w:szCs w:val="22"/>
              </w:rPr>
              <w:t>юбы</w:t>
            </w:r>
            <w:r>
              <w:rPr>
                <w:rFonts w:cs="Arial" w:ascii="Arial" w:hAnsi="Arial"/>
                <w:sz w:val="22"/>
                <w:szCs w:val="22"/>
              </w:rPr>
              <w:t>е</w:t>
            </w:r>
            <w:r>
              <w:rPr>
                <w:rFonts w:cs="Arial" w:ascii="Arial" w:hAnsi="Arial"/>
                <w:sz w:val="22"/>
                <w:szCs w:val="22"/>
              </w:rPr>
              <w:t xml:space="preserve"> заинтересованны</w:t>
            </w:r>
            <w:r>
              <w:rPr>
                <w:rFonts w:cs="Arial" w:ascii="Arial" w:hAnsi="Arial"/>
                <w:sz w:val="22"/>
                <w:szCs w:val="22"/>
              </w:rPr>
              <w:t>е</w:t>
            </w:r>
            <w:r>
              <w:rPr>
                <w:rFonts w:cs="Arial" w:ascii="Arial" w:hAnsi="Arial"/>
                <w:sz w:val="22"/>
                <w:szCs w:val="22"/>
              </w:rPr>
              <w:t xml:space="preserve"> лица, в том числе физически</w:t>
            </w:r>
            <w:r>
              <w:rPr>
                <w:rFonts w:cs="Arial" w:ascii="Arial" w:hAnsi="Arial"/>
                <w:sz w:val="22"/>
                <w:szCs w:val="22"/>
              </w:rPr>
              <w:t>е</w:t>
            </w:r>
            <w:r>
              <w:rPr>
                <w:rFonts w:cs="Arial" w:ascii="Arial" w:hAnsi="Arial"/>
                <w:sz w:val="22"/>
                <w:szCs w:val="22"/>
              </w:rPr>
              <w:t xml:space="preserve"> лица, индивидуальны</w:t>
            </w: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е</w:t>
            </w:r>
            <w:r>
              <w:rPr>
                <w:rFonts w:cs="Arial" w:ascii="Arial" w:hAnsi="Arial"/>
                <w:sz w:val="22"/>
                <w:szCs w:val="22"/>
              </w:rPr>
              <w:t xml:space="preserve"> предпринимател</w:t>
            </w: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cs="Arial" w:ascii="Arial" w:hAnsi="Arial"/>
                <w:sz w:val="22"/>
                <w:szCs w:val="22"/>
              </w:rPr>
              <w:t>, юридически</w:t>
            </w: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е</w:t>
            </w:r>
            <w:r>
              <w:rPr>
                <w:rFonts w:cs="Arial" w:ascii="Arial" w:hAnsi="Arial"/>
                <w:sz w:val="22"/>
                <w:szCs w:val="22"/>
              </w:rPr>
              <w:t xml:space="preserve"> лица, а также их представителям.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Запрос о предоставлении муниципальной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cs="Arial" w:ascii="Arial" w:hAnsi="Arial"/>
                <w:sz w:val="22"/>
                <w:szCs w:val="22"/>
              </w:rPr>
              <w:t>Документ, удостоверяющий личность заявителя, представителя.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3) </w:t>
            </w:r>
            <w:r>
              <w:rPr>
                <w:rFonts w:cs="Arial" w:ascii="Arial" w:hAnsi="Arial"/>
                <w:sz w:val="22"/>
                <w:szCs w:val="22"/>
              </w:rPr>
              <w:t>Документ, подтверждающий полномочия представителя действовать от имени заявителя (в случае, если запрос подается представителем).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20"/>
                <w:tab w:val="left" w:pos="1021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1) </w:t>
            </w:r>
            <w:r>
              <w:rPr>
                <w:rFonts w:cs="Arial" w:ascii="Arial" w:hAnsi="Arial"/>
                <w:sz w:val="22"/>
                <w:szCs w:val="22"/>
              </w:rPr>
              <w:t>решение о предоставлении выписки с приложением самой выписки из реестра муниципального имущества;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1021" w:leader="none"/>
              </w:tabs>
              <w:spacing w:lineRule="auto" w:line="240" w:before="0" w:after="0"/>
              <w:ind w:left="1077" w:right="0" w:hanging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2) </w:t>
            </w:r>
            <w:r>
              <w:rPr>
                <w:rFonts w:cs="Arial" w:ascii="Arial" w:hAnsi="Arial"/>
                <w:sz w:val="22"/>
                <w:szCs w:val="22"/>
              </w:rPr>
              <w:t>уведомление об отсутствии в реестре муниципального имущества запрашиваемых сведений;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21" w:leader="none"/>
              </w:tabs>
              <w:spacing w:lineRule="auto" w:line="240" w:before="0" w:after="0"/>
              <w:ind w:left="1077" w:right="0" w:hanging="0"/>
              <w:jc w:val="both"/>
              <w:rPr/>
            </w:pP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  <w:lang w:bidi="ru-RU"/>
              </w:rPr>
              <w:t xml:space="preserve">3) </w:t>
            </w: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  <w:lang w:bidi="ru-RU"/>
              </w:rPr>
              <w:t>решение об отказе в выдаче выписки из реестра муниципального имущества;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"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5 рабочих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A"/>
                <w:kern w:val="0"/>
                <w:sz w:val="22"/>
                <w:szCs w:val="22"/>
                <w:lang w:val="ru-RU" w:eastAsia="en-US" w:bidi="ar-SA"/>
              </w:rPr>
              <w:t>13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сентябрь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2023 года №1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261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Об утверждении Административного регламента предоставления </w:t>
            </w:r>
            <w:r>
              <w:rPr>
                <w:sz w:val="24"/>
                <w:szCs w:val="24"/>
              </w:rPr>
              <w:t xml:space="preserve">муниципальной услуги «Предоставление информации об объектах учета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zh-CN" w:bidi="ru-RU"/>
              </w:rPr>
              <w:t>из реестра муниципального имущества » на территории Щучанского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2"/>
        <w:i w:val="false"/>
        <w:b w:val="false"/>
        <w:szCs w:val="22"/>
        <w:rFonts w:ascii="Arial" w:hAnsi="Arial" w:cs="Arial"/>
        <w:color w:val="auto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sz w:val="26"/>
        <w:szCs w:val="26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3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Application>LibreOffice/7.0.4.2$Windows_X86_64 LibreOffice_project/dcf040e67528d9187c66b2379df5ea4407429775</Application>
  <AppVersion>15.0000</AppVersion>
  <Pages>2</Pages>
  <Words>330</Words>
  <Characters>2635</Characters>
  <CharactersWithSpaces>2934</CharactersWithSpaces>
  <Paragraphs>31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2024-12-17T13:40:39Z</dcterms:modified>
  <cp:revision>326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