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51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Комитета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Физические лица, в том числе зарегистрированные в качестве индивидуальных предпринимателей, юридические лица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Интересы заявителей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bidi="ru-RU"/>
              </w:rPr>
              <w:t>В случае обращения об отнесении земельного участка к определенной категории земель: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муниципальной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2)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bidi="ru-RU"/>
              </w:rPr>
              <w:t>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3) </w:t>
            </w:r>
            <w:r>
              <w:rPr>
                <w:rFonts w:ascii="Arial" w:hAnsi="Arial"/>
                <w:sz w:val="22"/>
                <w:szCs w:val="22"/>
                <w:lang w:bidi="ru-RU"/>
              </w:rPr>
      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4) правоустанавливающие или правоудостоверяющие документы на земельный участок;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5) проект рекультивации земель (в случаях, установленных законодательством);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lang w:bidi="ru-RU"/>
              </w:rPr>
            </w:pPr>
            <w:r>
              <w:rPr>
                <w:lang w:bidi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bidi="ru-RU"/>
              </w:rPr>
              <w:t>В случае обращения о переводе земельного участка из одной категории в другую: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государственной (муниципальной) услуги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правоустанавливающие или правоудостоверяющие документы на земельный участок;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проект рекультивации земель (в случаях, установленных законодательством);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документ, подтверждающий полномочия представителя заявителя действовать от имени заявителя;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сведения из Единого государственного реестра недвижимости в отношении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сведения о положительном заключении государственной экологической экспертизы (неэлектронное межведомственное информационное взаимодействие).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5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В случае обращения с заявлением об отнесении земельного участка к определенной категории земель: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1) Решение уполномоченного органа об отнесении земельного участков к определенной категории земель;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28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2) Решение уполномоченного органа об отказе в предоставлении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5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В случае обращения с заявлением о переводе земельного участка из одной категории в другую: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bidi="ru-RU"/>
              </w:rPr>
              <w:t>1) Решение уполномоченного органа о переводе земельного участка из одной категории в другую;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28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eastAsia="Calibri" w:cs="Arial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>2) Решение уполномоченного органа об отказе в предоставлении услуги;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Срок предоставления государственной (муниципальной) услуги определяется в соответствии с Федеральным законом от 21 декабря 2004 г. № 172-ФЗ «О переводе земель или земельных участков из одной категории в другую».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bidi="ru-RU"/>
              </w:rPr>
            </w:pPr>
            <w:r>
              <w:rPr>
                <w:rFonts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bidi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/>
            </w:pPr>
            <w:r>
              <w:rPr>
                <w:rStyle w:val="2"/>
                <w:rFonts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bidi="ru-RU"/>
              </w:rPr>
              <w:t>ст. 4 Федеральным законом от 21 декабря 2004 г. № 172-ФЗ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(далее также - акт о переводе земель или земельных участков) либо акт об отказе в переводе земель или земельных участков в составе таких земель из одной категории в другую (далее также - акт об отказе в переводе земель или земельных участков) в следующие сроки: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1) в течение трех месяцев со дня поступления ходатайства, если иное не установлено нормативными правовыми актами Российской Федерации, - Правительством Российской Федерации;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в течение двух месяцев со дня поступления ходатайства - исполнительным органом государственной власти субъекта Российской Федерации или органом местного самоуправления.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25 августа 2023 года № 1788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ar-SA"/>
              </w:rPr>
              <w:t>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ar-SA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LibreOffice/7.0.4.2$Windows_X86_64 LibreOffice_project/dcf040e67528d9187c66b2379df5ea4407429775</Application>
  <AppVersion>15.0000</AppVersion>
  <Pages>2</Pages>
  <Words>567</Words>
  <Characters>4074</Characters>
  <CharactersWithSpaces>4595</CharactersWithSpaces>
  <Paragraphs>46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2024-12-13T13:53:47Z</dcterms:modified>
  <cp:revision>200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