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auto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4"/>
                <w:szCs w:val="24"/>
                <w:lang w:val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1"/>
              <w:widowControl w:val="false"/>
              <w:pBdr/>
              <w:shd w:val="clear" w:color="auto" w:fill="auto"/>
              <w:tabs>
                <w:tab w:val="clear" w:pos="720"/>
                <w:tab w:val="left" w:pos="1134" w:leader="none"/>
              </w:tabs>
              <w:spacing w:lineRule="auto" w:line="240" w:before="0" w:after="0"/>
              <w:ind w:left="20" w:right="499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>Комитет имущественных и земельных отношений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Ф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</w:rPr>
              <w:t>изические лица, юридические лица и индивидуальные предприниматели.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  <w:u w:val="none"/>
              </w:rPr>
              <w:t>Интересы заявителей, могут представлять лица, обладающие соответствующими полномочиями.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1) заявление о предоставлении муниципальной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2) документ, удостоверяющего личность Заявителя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3) документ, подтверждающий полномочия представителя действовать от имени заявителя – в случае, если заявление подается представителем.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bookmarkStart w:id="0" w:name="Par114"/>
            <w:bookmarkEnd w:id="0"/>
            <w:r>
              <w:rPr>
                <w:rFonts w:cs="Arial" w:ascii="Arial" w:hAnsi="Arial"/>
                <w:sz w:val="24"/>
                <w:szCs w:val="24"/>
              </w:rPr>
              <w:t>5)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предоставлении земельного участка такому товариществу;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6) договор о развитии застроенной территории, если обращается лицо, с которым заключен договор о развитии застроенной территории;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7) документ, удостоверяющий (устанавливающий) права заявителя на 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8)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9)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религиозного или благотворительного назначения;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10) 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участка, если обращается лицо, уполномоченное на подачу заявления решением общего собрания членов садоводческого или огороднического некоммерческого товарищества;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11) приказ о приеме на работу, выписка из трудовой книжки (либо сведения о трудовой деятельности) или трудовой договор (контракт), если обращается гражданин, работающий по основному месту работы в муниципальном образовании по специальности, которая установлена Законом Курганской области от 30.05.2007 N 251 (ред. от 30.11.2020) "О регулировании отдельных положений муниципальной службы в Курганской области" (принят Постановлением Курганской областной Думы от 29.05.2007 N 2308);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12) документы, подтверждающие условия предоставления земельных участков в соответствии с законодательством субъектов Российской Федерации, если обращаются граждане, имеющие трех и более детей; отдельные категории граждан и (или) некоммерческие организации, созданные гражданами, 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1)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ГРЮЛ;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2) выписка из Е</w:t>
            </w:r>
            <w:r>
              <w:rPr>
                <w:rFonts w:eastAsia="Calibri" w:cs="Arial" w:ascii="Arial" w:hAnsi="Arial"/>
                <w:color w:val="00000A"/>
                <w:kern w:val="0"/>
                <w:sz w:val="24"/>
                <w:szCs w:val="24"/>
                <w:lang w:val="ru-RU" w:eastAsia="en-US" w:bidi="ar-SA"/>
              </w:rPr>
              <w:t>ГРИП;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3) выписка из ЕГРН 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4)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исходный земельный участок зарегистрировано в ЕГРН), если обращается лицо, уполномоченное на подачу заявления решением общего собрания членов такого товарищества;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24"/>
                <w:szCs w:val="24"/>
              </w:rPr>
              <w:t>5) утвержденный проект межевания территории,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Style w:val="2"/>
                <w:rFonts w:eastAsia="Calibri" w:cs="Arial" w:ascii="Arial" w:hAnsi="Arial"/>
                <w:color w:val="000000"/>
                <w:kern w:val="0"/>
                <w:sz w:val="24"/>
                <w:szCs w:val="24"/>
                <w:lang w:val="ru-RU" w:eastAsia="en-US" w:bidi="ar-SA"/>
              </w:rPr>
              <w:t>6) утвержденный проект планировки территории, если обращается лицо, с которым заключен договор о развитии застроенной территории;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1) </w:t>
            </w:r>
            <w:r>
              <w:rPr>
                <w:rFonts w:cs="Arial" w:ascii="Arial" w:hAnsi="Arial"/>
                <w:sz w:val="24"/>
                <w:szCs w:val="24"/>
              </w:rPr>
              <w:t>решение о предоставлении земельного участка, находящегося в государственной или муниципальной собственности, в собственность бесплатно;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cs="Arial" w:ascii="Arial" w:hAnsi="Arial"/>
                <w:color w:val="000000"/>
                <w:sz w:val="24"/>
                <w:szCs w:val="24"/>
              </w:rPr>
              <w:t>2</w:t>
            </w:r>
            <w:r>
              <w:rPr>
                <w:rStyle w:val="2"/>
                <w:rFonts w:cs="Arial" w:ascii="Arial" w:hAnsi="Arial"/>
                <w:color w:val="000000"/>
                <w:sz w:val="24"/>
                <w:szCs w:val="24"/>
              </w:rPr>
              <w:t>)</w:t>
            </w:r>
            <w:r>
              <w:rPr>
                <w:rStyle w:val="2"/>
                <w:rFonts w:cs="Arial" w:ascii="Arial" w:hAnsi="Arial"/>
                <w:color w:val="000000"/>
                <w:sz w:val="24"/>
                <w:szCs w:val="24"/>
              </w:rPr>
              <w:t xml:space="preserve"> решение об отказе в предоставлении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в течение 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>30</w:t>
            </w:r>
            <w:r>
              <w:rPr>
                <w:rFonts w:eastAsia="Calibri" w:cs="Arial" w:ascii="Arial" w:hAnsi="Arial"/>
                <w:color w:val="000000"/>
                <w:kern w:val="0"/>
                <w:sz w:val="22"/>
                <w:szCs w:val="22"/>
                <w:lang w:val="ru-RU" w:eastAsia="en-US" w:bidi="ar-SA"/>
              </w:rPr>
              <w:t xml:space="preserve"> рабочих дней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Администрацией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2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6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декабря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202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3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года №1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>810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bidi="ru-RU"/>
              </w:rPr>
              <w:t xml:space="preserve">Об утверждении Административного регламента предоставления муниципальной услуги «Предоставление  земельного участка, находящегося в муниципальной собственности, гражданину или юридическому лицу в собственность бесплатно на территории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>Щучанского муниципального округа Курганской области»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1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2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Application>LibreOffice/7.0.4.2$Windows_X86_64 LibreOffice_project/dcf040e67528d9187c66b2379df5ea4407429775</Application>
  <AppVersion>15.0000</AppVersion>
  <Pages>3</Pages>
  <Words>667</Words>
  <Characters>5314</Characters>
  <CharactersWithSpaces>5942</CharactersWithSpaces>
  <Paragraphs>41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2024-12-17T09:42:57Z</dcterms:modified>
  <cp:revision>306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