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С</w:t>
            </w:r>
            <w:r>
              <w:rPr>
                <w:rFonts w:cs="Arial" w:ascii="Arial" w:hAnsi="Arial"/>
                <w:b/>
                <w:bCs/>
              </w:rPr>
              <w:t>огласование проведения переустройства и (или) перепланировки помещения в многоквартирном доме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Отдел архитектуры и градостраительства Управления по развитию территории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numPr>
                <w:ilvl w:val="1"/>
                <w:numId w:val="2"/>
              </w:numPr>
              <w:tabs>
                <w:tab w:val="clear" w:pos="720"/>
                <w:tab w:val="left" w:pos="400" w:leader="none"/>
              </w:tabs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      </w:r>
          </w:p>
          <w:p>
            <w:pPr>
              <w:pStyle w:val="ConsPlusNormal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40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  <w:lang w:bidi="ru-RU"/>
              </w:rPr>
              <w:t>С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  <w:lang w:bidi="ru-RU"/>
              </w:rPr>
              <w:t>обственник помещения в многоквартирном доме или уполномоченному им лицу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1) заявление о переустройстве и (или) перепланировке помещения в многоквартирном доме;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4)протокол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  <w:bookmarkStart w:id="0" w:name="Par98"/>
            <w:bookmarkEnd w:id="0"/>
          </w:p>
          <w:p>
            <w:pPr>
              <w:pStyle w:val="ConsPlusNormal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  <w:r>
              <w:rPr>
                <w:rFonts w:cs="Arial" w:ascii="Arial" w:hAnsi="Arial"/>
              </w:rPr>
              <w:t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 жилого помещения по договору социального найма);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  <w:r>
              <w:rPr>
                <w:rFonts w:cs="Arial" w:ascii="Arial" w:hAnsi="Arial"/>
                <w:sz w:val="22"/>
                <w:szCs w:val="22"/>
              </w:rPr>
              <w:t>) 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</w:rPr>
              <w:t xml:space="preserve">1) </w:t>
            </w: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</w:rPr>
              <w:t>принятое уполномоченным органом решение о согласовании проведения переустройства и (или) перепланировки помещения в многоквартирном доме;</w:t>
            </w:r>
          </w:p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</w:rPr>
              <w:t>2)</w:t>
            </w: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</w:rPr>
              <w:t xml:space="preserve"> решение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45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№110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5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spacing w:val="-1"/>
                <w:sz w:val="24"/>
                <w:szCs w:val="24"/>
                <w:highlight w:val="white"/>
                <w:lang w:bidi="ru-RU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муниципальной услуги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highlight w:val="white"/>
                <w:lang w:bidi="ru-RU"/>
              </w:rPr>
              <w:t>«Согласование проведения переустройства и (или) перепланировки помещения в многоквартирном доме»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Application>LibreOffice/7.0.4.2$Windows_X86_64 LibreOffice_project/dcf040e67528d9187c66b2379df5ea4407429775</Application>
  <AppVersion>15.0000</AppVersion>
  <Pages>2</Pages>
  <Words>405</Words>
  <Characters>3174</Characters>
  <CharactersWithSpaces>3547</CharactersWithSpaces>
  <Paragraphs>31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2024-12-23T16:07:19Z</dcterms:modified>
  <cp:revision>398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