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870" w:type="dxa"/>
        <w:jc w:val="left"/>
        <w:tblInd w:w="-266" w:type="dxa"/>
        <w:tblLayout w:type="fixed"/>
        <w:tblCellMar>
          <w:top w:w="150" w:type="dxa"/>
          <w:left w:w="150" w:type="dxa"/>
          <w:bottom w:w="150" w:type="dxa"/>
          <w:right w:w="150" w:type="dxa"/>
        </w:tblCellMar>
        <w:tblLook w:firstRow="1" w:noVBand="1" w:lastRow="0" w:firstColumn="1" w:lastColumn="0" w:noHBand="0" w:val="04a0"/>
      </w:tblPr>
      <w:tblGrid>
        <w:gridCol w:w="2850"/>
        <w:gridCol w:w="13019"/>
      </w:tblGrid>
      <w:tr>
        <w:trPr>
          <w:trHeight w:val="571" w:hRule="atLeast"/>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b/>
                <w:b/>
                <w:bCs/>
                <w:color w:val="auto"/>
                <w:sz w:val="24"/>
                <w:szCs w:val="24"/>
                <w:shd w:fill="auto" w:val="clear"/>
              </w:rPr>
            </w:pPr>
            <w:r>
              <w:rPr>
                <w:rFonts w:ascii="Arial" w:hAnsi="Arial"/>
                <w:b/>
                <w:bCs/>
                <w:color w:val="000000"/>
                <w:sz w:val="24"/>
                <w:szCs w:val="24"/>
                <w:shd w:fill="auto" w:val="clear"/>
              </w:rPr>
              <w:t>Наименование услуги</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Standard"/>
              <w:widowControl w:val="false"/>
              <w:spacing w:lineRule="auto" w:line="240" w:before="0" w:after="0"/>
              <w:ind w:left="0" w:right="0" w:hanging="0"/>
              <w:jc w:val="both"/>
              <w:rPr>
                <w:rFonts w:ascii="Arial" w:hAnsi="Arial"/>
                <w:b/>
                <w:b/>
                <w:bCs/>
                <w:sz w:val="24"/>
                <w:szCs w:val="24"/>
                <w:shd w:fill="auto" w:val="clear"/>
              </w:rPr>
            </w:pPr>
            <w:r>
              <w:rPr>
                <w:rFonts w:ascii="Arial" w:hAnsi="Arial"/>
                <w:b/>
                <w:bCs/>
                <w:sz w:val="24"/>
                <w:szCs w:val="24"/>
                <w:shd w:fill="auto" w:val="clear"/>
              </w:rPr>
              <w:t>В</w:t>
            </w:r>
            <w:r>
              <w:rPr>
                <w:rFonts w:ascii="Arial" w:hAnsi="Arial"/>
                <w:b/>
                <w:bCs/>
                <w:sz w:val="24"/>
                <w:szCs w:val="24"/>
                <w:shd w:fill="auto" w:val="clear"/>
              </w:rPr>
              <w:t>ыдач</w:t>
            </w:r>
            <w:r>
              <w:rPr>
                <w:rFonts w:ascii="Arial" w:hAnsi="Arial"/>
                <w:b/>
                <w:bCs/>
                <w:sz w:val="24"/>
                <w:szCs w:val="24"/>
                <w:shd w:fill="auto" w:val="clear"/>
              </w:rPr>
              <w:t>а</w:t>
            </w:r>
            <w:r>
              <w:rPr>
                <w:rFonts w:eastAsia="Arial" w:cs="Arial" w:ascii="Arial" w:hAnsi="Arial"/>
                <w:b/>
                <w:bCs/>
                <w:color w:val="000000"/>
                <w:sz w:val="24"/>
                <w:szCs w:val="24"/>
                <w:shd w:fill="auto" w:val="clear"/>
              </w:rPr>
              <w:t xml:space="preserve">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районов, городских округов Курганской области, и в случае реконструкции объекта капитального строительства, расположенного на территориях двух и более муниципальных районов, городских округов Курганской области</w:t>
            </w:r>
          </w:p>
        </w:tc>
      </w:tr>
      <w:tr>
        <w:trPr>
          <w:trHeight w:val="571" w:hRule="atLeast"/>
        </w:trPr>
        <w:tc>
          <w:tcPr>
            <w:tcW w:w="2850" w:type="dxa"/>
            <w:tcBorders>
              <w:bottom w:val="single" w:sz="6" w:space="0" w:color="EDEDED"/>
              <w:right w:val="single" w:sz="6" w:space="0" w:color="EDEDED"/>
            </w:tcBorders>
            <w:shd w:fill="B4C7DC" w:val="clear"/>
          </w:tcPr>
          <w:p>
            <w:pPr>
              <w:pStyle w:val="Normal"/>
              <w:widowControl w:val="false"/>
              <w:spacing w:before="0" w:after="200"/>
              <w:rPr>
                <w:rFonts w:ascii="Arial" w:hAnsi="Arial"/>
                <w:b/>
                <w:b/>
                <w:bCs/>
                <w:color w:val="auto"/>
                <w:sz w:val="24"/>
                <w:szCs w:val="24"/>
                <w:shd w:fill="auto" w:val="clear"/>
              </w:rPr>
            </w:pPr>
            <w:r>
              <w:rPr>
                <w:rFonts w:ascii="Arial" w:hAnsi="Arial"/>
                <w:b/>
                <w:bCs/>
                <w:color w:val="000000"/>
                <w:sz w:val="24"/>
                <w:szCs w:val="24"/>
                <w:shd w:fill="auto" w:val="clear"/>
              </w:rPr>
              <w:t>Административный регламент</w:t>
            </w:r>
          </w:p>
        </w:tc>
        <w:tc>
          <w:tcPr>
            <w:tcW w:w="13019" w:type="dxa"/>
            <w:tcBorders>
              <w:left w:val="single" w:sz="6" w:space="0" w:color="EDEDED"/>
              <w:bottom w:val="single" w:sz="6" w:space="0" w:color="EDEDED"/>
              <w:right w:val="single" w:sz="6" w:space="0" w:color="EDEDED"/>
            </w:tcBorders>
            <w:shd w:color="auto" w:fill="auto" w:val="clear"/>
          </w:tcPr>
          <w:p>
            <w:pPr>
              <w:pStyle w:val="Normal"/>
              <w:widowControl/>
              <w:spacing w:lineRule="auto" w:line="240" w:before="0" w:after="0"/>
              <w:ind w:right="0" w:hanging="0"/>
              <w:jc w:val="both"/>
              <w:rPr>
                <w:rFonts w:ascii="Arial" w:hAnsi="Arial"/>
                <w:sz w:val="24"/>
                <w:szCs w:val="24"/>
                <w:shd w:fill="auto" w:val="clear"/>
              </w:rPr>
            </w:pPr>
            <w:r>
              <w:rPr>
                <w:rFonts w:cs="Arial" w:ascii="Arial" w:hAnsi="Arial"/>
                <w:color w:val="000000"/>
                <w:sz w:val="24"/>
                <w:szCs w:val="24"/>
                <w:shd w:fill="auto" w:val="clear"/>
              </w:rPr>
              <w:t>П</w:t>
            </w:r>
            <w:r>
              <w:rPr>
                <w:rFonts w:cs="Arial" w:ascii="Arial" w:hAnsi="Arial"/>
                <w:color w:val="000000"/>
                <w:sz w:val="24"/>
                <w:szCs w:val="24"/>
                <w:shd w:fill="auto" w:val="clear"/>
              </w:rPr>
              <w:t xml:space="preserve">риказ Департамента строительства, госэкспертизы и жилищно-коммунального хозяйства Курганской области </w:t>
            </w:r>
            <w:r>
              <w:rPr>
                <w:rFonts w:eastAsia="ArialMT" w:cs="ArialMT" w:ascii="Arial" w:hAnsi="Arial"/>
                <w:color w:val="000000"/>
                <w:sz w:val="24"/>
                <w:szCs w:val="24"/>
                <w:shd w:fill="auto" w:val="clear"/>
              </w:rPr>
              <w:t xml:space="preserve">от 10 апреля 2020 года № 205 </w:t>
            </w:r>
            <w:r>
              <w:rPr>
                <w:rFonts w:cs="Arial" w:ascii="Arial" w:hAnsi="Arial"/>
                <w:color w:val="000000"/>
                <w:sz w:val="24"/>
                <w:szCs w:val="24"/>
                <w:shd w:fill="auto" w:val="clear"/>
              </w:rPr>
              <w:t>«</w:t>
            </w:r>
            <w:r>
              <w:rPr>
                <w:rFonts w:eastAsia="Arial" w:cs="Arial" w:ascii="Arial" w:hAnsi="Arial"/>
                <w:color w:val="000000"/>
                <w:sz w:val="24"/>
                <w:szCs w:val="24"/>
                <w:shd w:fill="auto" w:val="clear"/>
              </w:rPr>
              <w:t>Об утверждении Административного регламента предоставления Департаментом строительства, госэкспертизы и жилищно-коммунального хозяйства Курганской области государственной услуги по выдаче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районов, городских округов Курганской области, и в случае реконструкции объекта капитального строительства, расположенного на территориях двух и более муниципальных районов, городских округов Курганской области»</w:t>
            </w:r>
          </w:p>
        </w:tc>
      </w:tr>
      <w:tr>
        <w:trPr>
          <w:trHeight w:val="571" w:hRule="atLeast"/>
        </w:trPr>
        <w:tc>
          <w:tcPr>
            <w:tcW w:w="2850"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Услуга предоставляется</w:t>
            </w:r>
          </w:p>
        </w:tc>
        <w:tc>
          <w:tcPr>
            <w:tcW w:w="13019" w:type="dxa"/>
            <w:tcBorders>
              <w:left w:val="single" w:sz="6" w:space="0" w:color="EDEDED"/>
              <w:bottom w:val="single" w:sz="6" w:space="0" w:color="EDEDED"/>
              <w:right w:val="single" w:sz="6" w:space="0" w:color="EDEDED"/>
            </w:tcBorders>
            <w:shd w:color="auto" w:fill="auto" w:val="clear"/>
          </w:tcPr>
          <w:p>
            <w:pPr>
              <w:pStyle w:val="Standard"/>
              <w:widowControl/>
              <w:spacing w:before="0" w:after="0"/>
              <w:ind w:right="0" w:hanging="0"/>
              <w:jc w:val="both"/>
              <w:rPr>
                <w:rFonts w:ascii="Arial" w:hAnsi="Arial" w:cs="Arial"/>
                <w:color w:val="000000"/>
                <w:sz w:val="24"/>
                <w:szCs w:val="24"/>
                <w:shd w:fill="auto" w:val="clear"/>
              </w:rPr>
            </w:pPr>
            <w:r>
              <w:rPr>
                <w:rFonts w:cs="Arial" w:ascii="Arial" w:hAnsi="Arial"/>
                <w:color w:val="000000"/>
                <w:sz w:val="24"/>
                <w:szCs w:val="24"/>
                <w:shd w:fill="auto" w:val="clear"/>
              </w:rPr>
              <w:t>Департамент</w:t>
            </w:r>
            <w:r>
              <w:rPr>
                <w:rFonts w:cs="Arial" w:ascii="Arial" w:hAnsi="Arial"/>
                <w:color w:val="000000"/>
                <w:sz w:val="24"/>
                <w:szCs w:val="24"/>
                <w:shd w:fill="auto" w:val="clear"/>
              </w:rPr>
              <w:t>ом</w:t>
            </w:r>
            <w:r>
              <w:rPr>
                <w:rFonts w:cs="Arial" w:ascii="Arial" w:hAnsi="Arial"/>
                <w:color w:val="000000"/>
                <w:sz w:val="24"/>
                <w:szCs w:val="24"/>
                <w:shd w:fill="auto" w:val="clear"/>
              </w:rPr>
              <w:t xml:space="preserve"> строительства, госэкспертизы и жилищно-коммунального хозяйства Курганской области</w:t>
            </w:r>
          </w:p>
        </w:tc>
      </w:tr>
      <w:tr>
        <w:trPr>
          <w:trHeight w:val="571" w:hRule="atLeast"/>
        </w:trPr>
        <w:tc>
          <w:tcPr>
            <w:tcW w:w="2850"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000000"/>
                <w:sz w:val="24"/>
                <w:szCs w:val="24"/>
                <w:shd w:fill="auto" w:val="clear"/>
                <w:lang w:eastAsia="ru-RU"/>
              </w:rPr>
            </w:pPr>
            <w:r>
              <w:rPr>
                <w:rFonts w:eastAsia="Times New Roman" w:cs="Arial" w:ascii="Arial" w:hAnsi="Arial"/>
                <w:b/>
                <w:bCs/>
                <w:color w:val="000000" w:themeColor="accent4" w:themeShade="80"/>
                <w:sz w:val="24"/>
                <w:szCs w:val="24"/>
                <w:shd w:fill="auto" w:val="clear"/>
                <w:lang w:eastAsia="ru-RU"/>
              </w:rPr>
              <w:t>Отдел ответственный за предоставление услуги</w:t>
            </w:r>
          </w:p>
        </w:tc>
        <w:tc>
          <w:tcPr>
            <w:tcW w:w="13019" w:type="dxa"/>
            <w:tcBorders>
              <w:left w:val="single" w:sz="6" w:space="0" w:color="EDEDED"/>
              <w:bottom w:val="single" w:sz="6" w:space="0" w:color="EDEDED"/>
              <w:right w:val="single" w:sz="6" w:space="0" w:color="EDEDED"/>
            </w:tcBorders>
            <w:shd w:color="auto" w:fill="auto" w:val="clear"/>
          </w:tcPr>
          <w:p>
            <w:pPr>
              <w:pStyle w:val="Standard"/>
              <w:widowControl w:val="false"/>
              <w:spacing w:lineRule="auto" w:line="240" w:before="0" w:after="0"/>
              <w:ind w:left="0" w:right="0" w:hanging="0"/>
              <w:jc w:val="both"/>
              <w:rPr>
                <w:rFonts w:ascii="Arial" w:hAnsi="Arial" w:cs="Arial"/>
                <w:sz w:val="24"/>
                <w:szCs w:val="24"/>
                <w:shd w:fill="auto" w:val="clear"/>
              </w:rPr>
            </w:pPr>
            <w:r>
              <w:rPr>
                <w:rFonts w:cs="Arial" w:ascii="Arial" w:hAnsi="Arial"/>
                <w:sz w:val="24"/>
                <w:szCs w:val="24"/>
                <w:shd w:fill="auto" w:val="clear"/>
              </w:rPr>
              <w:t>О</w:t>
            </w:r>
            <w:r>
              <w:rPr>
                <w:rFonts w:cs="Arial" w:ascii="Arial" w:hAnsi="Arial"/>
                <w:sz w:val="24"/>
                <w:szCs w:val="24"/>
                <w:shd w:fill="auto" w:val="clear"/>
              </w:rPr>
              <w:t xml:space="preserve">тдела архитектуры и градостроительства управления строительства Департамента </w:t>
            </w:r>
            <w:r>
              <w:rPr>
                <w:rFonts w:cs="Arial" w:ascii="Arial" w:hAnsi="Arial"/>
                <w:color w:val="000000"/>
                <w:sz w:val="24"/>
                <w:szCs w:val="24"/>
                <w:shd w:fill="auto" w:val="clear"/>
              </w:rPr>
              <w:t>строительства, госэкспертизы и жилищно-коммунального хозяйства Курганской области</w:t>
            </w:r>
          </w:p>
        </w:tc>
      </w:tr>
      <w:tr>
        <w:trPr>
          <w:trHeight w:val="684" w:hRule="atLeast"/>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Заявители</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ind w:left="0" w:right="0" w:hanging="0"/>
              <w:jc w:val="both"/>
              <w:rPr>
                <w:rFonts w:ascii="Arial" w:hAnsi="Arial"/>
                <w:sz w:val="24"/>
                <w:szCs w:val="24"/>
                <w:shd w:fill="auto" w:val="clear"/>
              </w:rPr>
            </w:pPr>
            <w:r>
              <w:rPr>
                <w:rFonts w:ascii="Arial" w:hAnsi="Arial"/>
                <w:sz w:val="24"/>
                <w:szCs w:val="24"/>
                <w:shd w:fill="auto" w:val="clear"/>
              </w:rPr>
              <w:t xml:space="preserve">Заявителями на получение государственной услуги являются </w:t>
            </w:r>
            <w:r>
              <w:rPr>
                <w:rFonts w:ascii="Arial" w:hAnsi="Arial"/>
                <w:b/>
                <w:bCs/>
                <w:sz w:val="24"/>
                <w:szCs w:val="24"/>
                <w:shd w:fill="auto" w:val="clear"/>
              </w:rPr>
              <w:t>юридические и физические лица, являющиеся застройщиками</w:t>
            </w:r>
            <w:r>
              <w:rPr>
                <w:rFonts w:ascii="Arial" w:hAnsi="Arial"/>
                <w:sz w:val="24"/>
                <w:szCs w:val="24"/>
                <w:shd w:fill="auto" w:val="clear"/>
              </w:rPr>
              <w:t xml:space="preserve"> в соответствии с Град</w:t>
            </w:r>
            <w:r>
              <w:rPr>
                <w:rFonts w:eastAsia="Calibri" w:cs="" w:ascii="Arial" w:hAnsi="Arial"/>
                <w:color w:val="000000"/>
                <w:kern w:val="0"/>
                <w:sz w:val="24"/>
                <w:szCs w:val="24"/>
                <w:shd w:fill="auto" w:val="clear"/>
                <w:lang w:val="ru-RU" w:eastAsia="en-US" w:bidi="ar-SA"/>
              </w:rPr>
              <w:t>К</w:t>
            </w:r>
            <w:r>
              <w:rPr>
                <w:rFonts w:ascii="Arial" w:hAnsi="Arial"/>
                <w:sz w:val="24"/>
                <w:szCs w:val="24"/>
                <w:shd w:fill="auto" w:val="clear"/>
              </w:rPr>
              <w:t xml:space="preserve"> РФ, подавшие в установленном порядке необходимые для предоставления государственной услуги документы.</w:t>
            </w:r>
          </w:p>
          <w:p>
            <w:pPr>
              <w:pStyle w:val="Normal"/>
              <w:spacing w:lineRule="auto" w:line="240" w:before="0" w:after="0"/>
              <w:ind w:left="0" w:right="0" w:hanging="0"/>
              <w:jc w:val="both"/>
              <w:rPr>
                <w:rFonts w:ascii="Arial" w:hAnsi="Arial"/>
                <w:sz w:val="24"/>
                <w:szCs w:val="24"/>
                <w:shd w:fill="auto" w:val="clear"/>
              </w:rPr>
            </w:pPr>
            <w:r>
              <w:rPr>
                <w:rFonts w:cs="Arial" w:ascii="Arial" w:hAnsi="Arial"/>
                <w:sz w:val="24"/>
                <w:szCs w:val="24"/>
                <w:shd w:fill="auto" w:val="clear"/>
              </w:rPr>
              <w:t>От имени заявителей могут выступать их представители, имеющие право в соответствии с законодательством РФ либо в силу наделения их в порядке, установленном законодательством РФ, полномочиями выступать от их имени (далее - уполномоченный представитель).</w:t>
            </w:r>
          </w:p>
        </w:tc>
      </w:tr>
      <w:tr>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Обязательные документы</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1) заявление на получение разрешения на строительство;</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 xml:space="preserve">К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РФ, если иное не установлено ч. 7.3. ст. 51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 если указанные документы (их копии или сведения, содержащиеся в них) отсутствуют в Е</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ГРН</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или едином государственном реестре заключений.</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3</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результаты инженерных изысканий и следующие материалы, содержащиеся в проектной документации: если указанные документы (их копии или сведения, содержащиеся в них) отсутствуют в Е</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ГРН</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или едином государственном реестре заключений.</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3.1.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пояснительная записка;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3.2.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3.3.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3.4.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4</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положительное заключение экспертизы проектной документации (в части соответствия проектной документации требованиям, указанным в п. 1 ч. 5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 12.1 с. 48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если такая проектная документация подлежит экспертизе в соответствии со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положительное заключение государственной экспертизы проектной документации в случаях, предусмотренных ч. 3.4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положительное заключение государственной экологической экспертизы проектной документации в случаях, предусмотренных ч. 6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5.1) согласование архитектурно-градостроительного облика объекта капитального строительства в случае, если такое согласование предусмотрено ст. 40.1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если указанные документы (их копии или сведения, содержащиеся в них) отсутствуют в Е</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ГРН</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или едином государственном реестре заключений.</w:t>
            </w:r>
          </w:p>
          <w:p>
            <w:pPr>
              <w:pStyle w:val="Standard"/>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6</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согласие всех правообладателей объекта капитального строительства в случае реконструкции такого объекта, за исключением указанных в п. 7.1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Standard"/>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6</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.1)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7</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в случае проведения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r>
      <w:tr>
        <w:trPr>
          <w:trHeight w:val="885" w:hRule="atLeast"/>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Необязательные документы</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1</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ГПЗУ</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в случае, предусмотренном ч. 1.1 ст. 57.3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если иное не установлено ч. 7.3. ст. 51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2</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ГПЗУ</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3</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результаты инженерных изысканий и следующие материалы, содержащиеся в проектной документации:</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3.1.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пояснительная записка;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3.2.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3.3.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3.4.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4</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положительное заключение экспертизы проектной документации (в части соответствия проектной документации требованиям, указанным в п. 1 ч. 5 ст. 49Град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 12.1 ст. 48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если такая проектная документация подлежит экспертизе в соответствии со с</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т.</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положительное заключение государственной экспертизы проектной документации в случаях, предусмотренных ч. 3.4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 положительное заключение государственной экологической экспертизы проектной документации в случаях, предусмотренных ч. 6 ст. 49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w:t>
            </w:r>
          </w:p>
          <w:p>
            <w:pPr>
              <w:pStyle w:val="Textbody"/>
              <w:spacing w:before="0"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4</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.1) согласование архитектурно-градостроительного облика объекта капитального строительства в случае, если такое согласование предусмотрено ст. 40.1 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РФ;</w:t>
            </w:r>
          </w:p>
          <w:p>
            <w:pPr>
              <w:pStyle w:val="Textbody"/>
              <w:widowControl w:val="false"/>
              <w:spacing w:lineRule="auto" w:line="240" w:beforeAutospacing="1"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5</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 40 </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ru-RU" w:bidi="ar-SA"/>
              </w:rPr>
              <w:t>Град</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К</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ru-RU" w:bidi="ar-SA"/>
              </w:rPr>
              <w:t xml:space="preserve"> РФ</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w:t>
            </w:r>
          </w:p>
          <w:p>
            <w:pPr>
              <w:pStyle w:val="Standard"/>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6</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eastAsia="zh-CN" w:bidi="ar-SA"/>
              </w:rPr>
              <w:t>Ф</w:t>
            </w:r>
            <w:r>
              <w:rPr>
                <w:rFonts w:eastAsia="Arial" w:cs="Arial" w:ascii="Arial" w:hAnsi="Arial"/>
                <w:b w:val="false"/>
                <w:bCs w:val="false"/>
                <w:i w:val="false"/>
                <w:iCs w:val="false"/>
                <w:strike w:val="false"/>
                <w:dstrike w:val="false"/>
                <w:color w:val="000000"/>
                <w:kern w:val="2"/>
                <w:position w:val="0"/>
                <w:sz w:val="24"/>
                <w:sz w:val="24"/>
                <w:szCs w:val="24"/>
                <w:u w:val="none"/>
                <w:shd w:fill="auto" w:val="clear"/>
                <w:vertAlign w:val="baseline"/>
                <w:lang w:val="ru-RU" w:bidi="ar-SA"/>
              </w:rPr>
              <w:t xml:space="preserve"> предоставление копий таких договора о комплексном развитии территории и (или) решения не требуется;</w:t>
            </w:r>
          </w:p>
          <w:p>
            <w:pPr>
              <w:pStyle w:val="Textbody"/>
              <w:widowControl w:val="false"/>
              <w:numPr>
                <w:ilvl w:val="0"/>
                <w:numId w:val="0"/>
              </w:numPr>
              <w:spacing w:lineRule="auto" w:line="240" w:beforeAutospacing="1" w:after="0"/>
              <w:ind w:left="0" w:right="0" w:hanging="0"/>
              <w:jc w:val="both"/>
              <w:rPr>
                <w:rFonts w:ascii="Arial" w:hAnsi="Arial" w:eastAsia="Arial" w:cs="Arial"/>
                <w:b w:val="false"/>
                <w:b w:val="false"/>
                <w:bCs w:val="false"/>
                <w:i w:val="false"/>
                <w:i w:val="false"/>
                <w:iCs w:val="false"/>
                <w:strike w:val="false"/>
                <w:dstrike w:val="false"/>
                <w:color w:val="000000"/>
                <w:kern w:val="2"/>
                <w:position w:val="0"/>
                <w:sz w:val="24"/>
                <w:sz w:val="24"/>
                <w:szCs w:val="24"/>
                <w:u w:val="none"/>
                <w:shd w:fill="auto" w:val="clear"/>
                <w:vertAlign w:val="baseline"/>
                <w:lang w:val="ru-RU" w:bidi="ar-SA"/>
              </w:rPr>
            </w:pP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7</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Ф</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 xml:space="preserve">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Положения п. 10 не применяются в случае, установленном ч. 18 ст. 26 Ф</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З</w:t>
            </w:r>
            <w:r>
              <w:rPr>
                <w:rFonts w:eastAsia="Times New Roman" w:cs="Arial" w:ascii="Arial" w:hAnsi="Arial"/>
                <w:b w:val="false"/>
                <w:bCs w:val="false"/>
                <w:i w:val="false"/>
                <w:iCs w:val="false"/>
                <w:strike w:val="false"/>
                <w:dstrike w:val="false"/>
                <w:color w:val="000000"/>
                <w:kern w:val="0"/>
                <w:position w:val="0"/>
                <w:sz w:val="24"/>
                <w:sz w:val="24"/>
                <w:szCs w:val="24"/>
                <w:u w:val="none"/>
                <w:shd w:fill="auto" w:val="clear"/>
                <w:vertAlign w:val="baseline"/>
                <w:lang w:val="ru-RU" w:eastAsia="ru-RU" w:bidi="ar-SA"/>
              </w:rPr>
              <w:t xml:space="preserve"> от 3 августа 2018 г. N 342-ФЗ.</w:t>
            </w:r>
          </w:p>
        </w:tc>
      </w:tr>
      <w:tr>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Результат</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Textbody"/>
              <w:numPr>
                <w:ilvl w:val="0"/>
                <w:numId w:val="1"/>
              </w:numPr>
              <w:spacing w:before="0" w:after="0"/>
              <w:ind w:left="0" w:right="0" w:hanging="0"/>
              <w:jc w:val="both"/>
              <w:rPr>
                <w:rFonts w:ascii="Arial" w:hAnsi="Arial"/>
                <w:sz w:val="24"/>
                <w:szCs w:val="24"/>
                <w:shd w:fill="auto" w:val="clear"/>
              </w:rPr>
            </w:pPr>
            <w:r>
              <w:rPr>
                <w:rFonts w:ascii="Arial" w:hAnsi="Arial"/>
                <w:color w:val="000000"/>
                <w:sz w:val="24"/>
                <w:szCs w:val="24"/>
                <w:shd w:fill="auto" w:val="clear"/>
              </w:rPr>
              <w:t>выдача (направление) разрешения на строительство;</w:t>
            </w:r>
          </w:p>
          <w:p>
            <w:pPr>
              <w:pStyle w:val="Textbody"/>
              <w:numPr>
                <w:ilvl w:val="0"/>
                <w:numId w:val="1"/>
              </w:numPr>
              <w:spacing w:before="0" w:after="0"/>
              <w:ind w:left="0" w:right="0" w:hanging="0"/>
              <w:jc w:val="both"/>
              <w:rPr>
                <w:rFonts w:ascii="Arial" w:hAnsi="Arial"/>
                <w:color w:val="000000"/>
                <w:sz w:val="24"/>
                <w:szCs w:val="24"/>
                <w:shd w:fill="auto" w:val="clear"/>
              </w:rPr>
            </w:pPr>
            <w:r>
              <w:rPr>
                <w:rFonts w:ascii="Arial" w:hAnsi="Arial"/>
                <w:color w:val="000000"/>
                <w:sz w:val="24"/>
                <w:szCs w:val="24"/>
                <w:shd w:fill="auto" w:val="clear"/>
              </w:rPr>
              <w:t>выдача (направление) решения об отказе в выдаче разрешения на строительство;</w:t>
            </w:r>
          </w:p>
          <w:p>
            <w:pPr>
              <w:pStyle w:val="Textbody"/>
              <w:numPr>
                <w:ilvl w:val="0"/>
                <w:numId w:val="1"/>
              </w:numPr>
              <w:spacing w:before="0" w:after="0"/>
              <w:ind w:left="0" w:right="0" w:hanging="0"/>
              <w:jc w:val="both"/>
              <w:rPr>
                <w:rFonts w:ascii="Arial" w:hAnsi="Arial"/>
                <w:color w:val="000000"/>
                <w:sz w:val="24"/>
                <w:szCs w:val="24"/>
                <w:shd w:fill="auto" w:val="clear"/>
              </w:rPr>
            </w:pPr>
            <w:r>
              <w:rPr>
                <w:rFonts w:ascii="Arial" w:hAnsi="Arial"/>
                <w:color w:val="000000"/>
                <w:sz w:val="24"/>
                <w:szCs w:val="24"/>
                <w:shd w:fill="auto" w:val="clear"/>
              </w:rPr>
              <w:t>выдача (направление) решения о внесении изменений в разрешение на строительство;</w:t>
            </w:r>
          </w:p>
          <w:p>
            <w:pPr>
              <w:pStyle w:val="Textbody"/>
              <w:numPr>
                <w:ilvl w:val="0"/>
                <w:numId w:val="1"/>
              </w:numPr>
              <w:spacing w:before="0" w:after="0"/>
              <w:ind w:left="0" w:right="0" w:hanging="0"/>
              <w:jc w:val="both"/>
              <w:rPr>
                <w:rFonts w:ascii="Arial" w:hAnsi="Arial"/>
                <w:color w:val="000000"/>
                <w:sz w:val="24"/>
                <w:szCs w:val="24"/>
                <w:shd w:fill="auto" w:val="clear"/>
              </w:rPr>
            </w:pPr>
            <w:r>
              <w:rPr>
                <w:rFonts w:ascii="Arial" w:hAnsi="Arial"/>
                <w:color w:val="000000"/>
                <w:sz w:val="24"/>
                <w:szCs w:val="24"/>
                <w:shd w:fill="auto" w:val="clear"/>
              </w:rPr>
              <w:t>выдача (направление) решения об отказе во внесении изменений в разрешение на строительство;</w:t>
            </w:r>
          </w:p>
          <w:p>
            <w:pPr>
              <w:pStyle w:val="Normal"/>
              <w:widowControl w:val="false"/>
              <w:numPr>
                <w:ilvl w:val="0"/>
                <w:numId w:val="1"/>
              </w:numPr>
              <w:spacing w:lineRule="auto" w:line="240" w:before="0" w:after="0"/>
              <w:ind w:left="0" w:right="0" w:hanging="0"/>
              <w:jc w:val="both"/>
              <w:rPr>
                <w:rFonts w:ascii="Arial" w:hAnsi="Arial"/>
                <w:color w:val="000000"/>
                <w:sz w:val="24"/>
                <w:szCs w:val="24"/>
                <w:shd w:fill="auto" w:val="clear"/>
              </w:rPr>
            </w:pPr>
            <w:r>
              <w:rPr>
                <w:rFonts w:cs="Arial" w:ascii="Arial" w:hAnsi="Arial"/>
                <w:color w:val="000000"/>
                <w:sz w:val="24"/>
                <w:szCs w:val="24"/>
                <w:shd w:fill="auto" w:val="clear"/>
              </w:rPr>
              <w:t>выдача (направление) повторного экземпляра (дубликата) разрешения на строительство.</w:t>
            </w:r>
          </w:p>
        </w:tc>
      </w:tr>
      <w:tr>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Срок предоставления услуги</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before="0" w:after="0"/>
              <w:ind w:left="0" w:right="0" w:hanging="0"/>
              <w:jc w:val="both"/>
              <w:rPr>
                <w:rFonts w:ascii="Arial" w:hAnsi="Arial"/>
                <w:sz w:val="24"/>
                <w:szCs w:val="24"/>
                <w:shd w:fill="auto" w:val="clear"/>
              </w:rPr>
            </w:pPr>
            <w:r>
              <w:rPr>
                <w:rFonts w:eastAsia="Calibri" w:cs="Arial" w:ascii="Arial" w:hAnsi="Arial"/>
                <w:color w:val="000000"/>
                <w:sz w:val="24"/>
                <w:szCs w:val="24"/>
                <w:shd w:fill="auto" w:val="clear"/>
              </w:rPr>
              <w:t xml:space="preserve">Департамент в течение </w:t>
            </w:r>
            <w:r>
              <w:rPr>
                <w:rFonts w:eastAsia="Calibri" w:cs="Arial" w:ascii="Arial" w:hAnsi="Arial"/>
                <w:b/>
                <w:bCs/>
                <w:color w:val="000000"/>
                <w:sz w:val="24"/>
                <w:szCs w:val="24"/>
                <w:shd w:fill="auto" w:val="clear"/>
              </w:rPr>
              <w:t>5 рабочих дней</w:t>
            </w:r>
            <w:r>
              <w:rPr>
                <w:rFonts w:eastAsia="Calibri" w:cs="Arial" w:ascii="Arial" w:hAnsi="Arial"/>
                <w:color w:val="000000"/>
                <w:sz w:val="24"/>
                <w:szCs w:val="24"/>
                <w:shd w:fill="auto" w:val="clear"/>
              </w:rPr>
              <w:t xml:space="preserve"> со дня поступления заявления и документов, принимает решение о выдаче разрешения на строительство, </w:t>
            </w:r>
            <w:r>
              <w:rPr>
                <w:rFonts w:eastAsia="Calibri" w:cs="Arial" w:ascii="Arial" w:hAnsi="Arial"/>
                <w:color w:val="000000"/>
                <w:sz w:val="24"/>
                <w:szCs w:val="24"/>
                <w:shd w:fill="auto" w:val="clear"/>
              </w:rPr>
              <w:t>выдает повторный экземпляр (дубликат) разрешения на строительство</w:t>
            </w:r>
            <w:r>
              <w:rPr>
                <w:rFonts w:eastAsia="Calibri" w:cs="Arial" w:ascii="Arial" w:hAnsi="Arial"/>
                <w:color w:val="000000"/>
                <w:sz w:val="24"/>
                <w:szCs w:val="24"/>
                <w:shd w:fill="auto" w:val="clear"/>
              </w:rPr>
              <w:t xml:space="preserve"> либо принимает решение об отказе в выдаче разрешения на строительство.</w:t>
            </w:r>
          </w:p>
        </w:tc>
      </w:tr>
      <w:tr>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Основания для отказа в приеме заявления</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color w:val="000000"/>
                <w:sz w:val="24"/>
                <w:szCs w:val="24"/>
                <w:shd w:fill="auto" w:val="clear"/>
                <w:lang w:eastAsia="ru-RU"/>
              </w:rPr>
            </w:pPr>
            <w:r>
              <w:rPr>
                <w:rFonts w:eastAsia="Times New Roman" w:cs="Arial" w:ascii="Arial" w:hAnsi="Arial"/>
                <w:color w:val="000000"/>
                <w:sz w:val="24"/>
                <w:szCs w:val="24"/>
                <w:shd w:fill="auto" w:val="clear"/>
                <w:lang w:eastAsia="ru-RU"/>
              </w:rPr>
              <w:t>Отсутствуют</w:t>
            </w:r>
          </w:p>
        </w:tc>
      </w:tr>
      <w:tr>
        <w:trPr>
          <w:trHeight w:val="523" w:hRule="atLeast"/>
        </w:trPr>
        <w:tc>
          <w:tcPr>
            <w:tcW w:w="2850"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4"/>
                <w:szCs w:val="24"/>
                <w:shd w:fill="auto" w:val="clear"/>
                <w:lang w:eastAsia="ru-RU"/>
              </w:rPr>
            </w:pPr>
            <w:r>
              <w:rPr>
                <w:rFonts w:eastAsia="Times New Roman" w:cs="Arial" w:ascii="Arial" w:hAnsi="Arial"/>
                <w:b/>
                <w:bCs/>
                <w:color w:val="000000" w:themeShade="80"/>
                <w:sz w:val="24"/>
                <w:szCs w:val="24"/>
                <w:shd w:fill="auto" w:val="clear"/>
                <w:lang w:eastAsia="ru-RU"/>
              </w:rPr>
              <w:t>Стоимость</w:t>
            </w:r>
          </w:p>
        </w:tc>
        <w:tc>
          <w:tcPr>
            <w:tcW w:w="1301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cs="Arial"/>
                <w:sz w:val="24"/>
                <w:szCs w:val="24"/>
                <w:shd w:fill="auto" w:val="clear"/>
              </w:rPr>
            </w:pPr>
            <w:r>
              <w:rPr>
                <w:rFonts w:cs="Arial" w:ascii="Arial" w:hAnsi="Arial"/>
                <w:sz w:val="24"/>
                <w:szCs w:val="24"/>
                <w:shd w:fill="auto" w:val="clear"/>
              </w:rPr>
              <w:t>Услуга предоставляется на бесплатной основе.</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swiss"/>
    <w:pitch w:val="variable"/>
  </w:font>
  <w:font w:name="Arial">
    <w:charset w:val="01"/>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Style16">
    <w:name w:val="Маркеры"/>
    <w:qFormat/>
    <w:rPr>
      <w:rFonts w:ascii="OpenSymbol" w:hAnsi="OpenSymbol" w:eastAsia="OpenSymbol" w:cs="OpenSymbol"/>
    </w:rPr>
  </w:style>
  <w:style w:type="character" w:styleId="Style17">
    <w:name w:val="Символ нумерации"/>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Standard">
    <w:name w:val="Standard"/>
    <w:qFormat/>
    <w:pPr>
      <w:widowControl w:val="false"/>
      <w:suppressAutoHyphens w:val="true"/>
      <w:bidi w:val="0"/>
      <w:spacing w:before="0" w:after="0"/>
      <w:jc w:val="left"/>
      <w:textAlignment w:val="baseline"/>
    </w:pPr>
    <w:rPr>
      <w:rFonts w:ascii="Arial" w:hAnsi="Arial" w:eastAsia="Lucida Sans Unicode" w:cs="Tahoma"/>
      <w:color w:val="auto"/>
      <w:kern w:val="2"/>
      <w:sz w:val="21"/>
      <w:szCs w:val="24"/>
      <w:lang w:val="ru-RU" w:eastAsia="zh-CN" w:bidi="ar-SA"/>
    </w:rPr>
  </w:style>
  <w:style w:type="paragraph" w:styleId="Textbody">
    <w:name w:val="Text body"/>
    <w:basedOn w:val="Standard"/>
    <w:qFormat/>
    <w:pPr>
      <w:spacing w:before="0" w:after="12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LibreOffice/7.0.4.2$Windows_X86_64 LibreOffice_project/dcf040e67528d9187c66b2379df5ea4407429775</Application>
  <AppVersion>15.0000</AppVersion>
  <Pages>5</Pages>
  <Words>1509</Words>
  <Characters>11278</Characters>
  <CharactersWithSpaces>12732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2019-04-08T04:40:00Z</dcterms:created>
  <dc:creator>Надежда Николаевна Плотникова</dc:creator>
  <dc:description/>
  <dc:language>ru-RU</dc:language>
  <cp:lastModifiedBy/>
  <cp:lastPrinted>2018-08-08T10:10:00Z</cp:lastPrinted>
  <dcterms:modified xsi:type="dcterms:W3CDTF">2025-05-06T16:56:35Z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