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Прекращение права пожизненного наследуемого владения и постоянного (бессрочного) пользования земельными участка, находящимися в муниципальной собственности, и земельными участками, государственная собственность на которые не разграничена, расположенными на территории муниципального образования — город Шадринск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0"/>
                <w:rFonts w:cs="Liberation Serif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Комитет по управлению муниципальным имуществом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bidi w:val="0"/>
              <w:snapToGrid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физические и юридические лица, обладающие земельным участком на праве пожизненного наследуемого владения и постоянного (бессрочного) пользования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1) Заявление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2) Д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</w:rPr>
              <w:t>окумент, удостоверяющи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</w:rPr>
              <w:t>й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</w:rPr>
              <w:t xml:space="preserve"> прав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</w:rPr>
              <w:t>о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</w:rPr>
              <w:t xml:space="preserve"> на землю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</w:rPr>
              <w:t xml:space="preserve">3) 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</w:rPr>
              <w:t>Д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</w:rPr>
              <w:t xml:space="preserve">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</w:rPr>
              <w:t>(примечание: заявление о согласии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участком, должно быть выражено в письменном виде и удостоверено уполномоченным лицом органа либо удостоверено нотариально)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  <w:highlight w:val="white"/>
              </w:rPr>
            </w:pPr>
            <w:r>
              <w:rPr>
                <w:rFonts w:cs="Liberation Serif" w:ascii="Arial" w:hAnsi="Arial"/>
                <w:sz w:val="21"/>
                <w:szCs w:val="21"/>
                <w:highlight w:val="white"/>
              </w:rPr>
              <w:t>1)</w:t>
            </w:r>
            <w:r>
              <w:rPr>
                <w:rFonts w:cs="Liberation Serif" w:ascii="Arial" w:hAnsi="Arial"/>
                <w:sz w:val="21"/>
                <w:szCs w:val="21"/>
                <w:highlight w:val="white"/>
              </w:rPr>
              <w:t>Выдача заявителю решения (постановления) о прекращении права пожизненного наследуемого владения и постоянного (бессрочного) пользования земельным участком</w:t>
            </w:r>
          </w:p>
          <w:p>
            <w:pPr>
              <w:pStyle w:val="Normal"/>
              <w:widowControl/>
              <w:suppressAutoHyphens w:val="false"/>
              <w:bidi w:val="0"/>
              <w:snapToGrid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Liberation Serif" w:ascii="Arial" w:hAnsi="Arial"/>
                <w:sz w:val="21"/>
                <w:szCs w:val="21"/>
                <w:highlight w:val="white"/>
              </w:rPr>
              <w:t>2</w:t>
            </w:r>
            <w:r>
              <w:rPr>
                <w:rFonts w:cs="Liberation Serif" w:ascii="Arial" w:hAnsi="Arial"/>
                <w:sz w:val="21"/>
                <w:szCs w:val="21"/>
                <w:highlight w:val="white"/>
              </w:rPr>
              <w:t>) Отказ в оформлении прекращения права пожизненного наследуемого владения и постоянного (бессрочного) пользования земельным участком с указанием причины отказа и возвращением всех предоставленных документов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21"/>
                <w:lang w:val="ru-RU" w:eastAsia="ru-RU"/>
              </w:rPr>
              <w:t>Услуга предоставляется бесплатно</w:t>
            </w:r>
            <w:r>
              <w:rPr>
                <w:rFonts w:eastAsia="Times New Roman" w:ascii="Arial" w:hAnsi="Arial"/>
                <w:b w:val="false"/>
                <w:bCs w:val="false"/>
                <w:color w:val="auto"/>
                <w:sz w:val="21"/>
                <w:szCs w:val="21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Шадринска от 26 марта 2012 года №604 «Об утверждении административного регламента по предоставлению муниципальной услуги по прекращению права пожизненного наследуемого владения и постоянного (бессрочного) пользования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разграничена, расположенными на территории муниципального образования — город Шадринск»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LibreOffice/6.4.3.2$Windows_X86_64 LibreOffice_project/747b5d0ebf89f41c860ec2a39efd7cb15b54f2d8</Application>
  <Pages>2</Pages>
  <Words>278</Words>
  <Characters>2256</Characters>
  <CharactersWithSpaces>2511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2020-07-02T15:10:38Z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